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854B" w14:textId="77777777" w:rsidR="007C2CE5" w:rsidRPr="00D87DD9" w:rsidRDefault="007C2CE5" w:rsidP="00930740">
      <w:pPr>
        <w:spacing w:after="0" w:line="240" w:lineRule="auto"/>
        <w:ind w:firstLine="708"/>
        <w:jc w:val="center"/>
        <w:rPr>
          <w:rFonts w:ascii="Times New Roman" w:eastAsia="Times New Roman" w:hAnsi="Times New Roman" w:cs="Times New Roman"/>
          <w:b/>
          <w:sz w:val="20"/>
          <w:szCs w:val="20"/>
          <w:lang w:val="es-ES" w:eastAsia="es-ES"/>
        </w:rPr>
      </w:pPr>
      <w:r w:rsidRPr="00D87DD9">
        <w:rPr>
          <w:rFonts w:ascii="Times New Roman" w:eastAsia="Times New Roman" w:hAnsi="Times New Roman" w:cs="Times New Roman"/>
          <w:b/>
          <w:sz w:val="20"/>
          <w:szCs w:val="20"/>
          <w:lang w:val="es-ES" w:eastAsia="es-ES"/>
        </w:rPr>
        <w:t>SECRETARÍA DE ADMINISTRACIÓN Y FINANZAS</w:t>
      </w:r>
    </w:p>
    <w:p w14:paraId="5B727486" w14:textId="77777777" w:rsidR="007C2CE5" w:rsidRPr="00D87DD9" w:rsidRDefault="007C2CE5" w:rsidP="00930740">
      <w:pPr>
        <w:spacing w:after="0" w:line="240" w:lineRule="auto"/>
        <w:jc w:val="both"/>
        <w:rPr>
          <w:rFonts w:ascii="Times New Roman" w:hAnsi="Times New Roman" w:cs="Times New Roman"/>
          <w:sz w:val="20"/>
          <w:szCs w:val="20"/>
        </w:rPr>
      </w:pPr>
    </w:p>
    <w:p w14:paraId="50ED1032" w14:textId="50B8B029" w:rsidR="007C2CE5" w:rsidRPr="00D87DD9" w:rsidRDefault="007C2CE5" w:rsidP="00930740">
      <w:pPr>
        <w:spacing w:after="0" w:line="240" w:lineRule="auto"/>
        <w:jc w:val="both"/>
        <w:rPr>
          <w:rFonts w:ascii="Times New Roman" w:eastAsia="Times New Roman" w:hAnsi="Times New Roman" w:cs="Times New Roman"/>
          <w:sz w:val="20"/>
          <w:szCs w:val="20"/>
          <w:lang w:val="es-ES" w:eastAsia="es-ES"/>
        </w:rPr>
      </w:pPr>
      <w:r w:rsidRPr="00D87DD9">
        <w:rPr>
          <w:rFonts w:ascii="Times New Roman" w:eastAsia="Times New Roman" w:hAnsi="Times New Roman" w:cs="Times New Roman"/>
          <w:sz w:val="20"/>
          <w:szCs w:val="20"/>
          <w:lang w:val="es-ES" w:eastAsia="es-ES"/>
        </w:rPr>
        <w:t>Act. María del Carmen Moreno Ramírez, Directora General de Armonización Contable y Rendición de Cuentas y Secretaria Técnica del Consejo de Armonización Contable de la Ciudad de México, con fundamento en los Artículos 7 y 10 Bis de la Ley General de Contabilidad Gubernamental; Artículo 16 fracción II de la Ley Orgánica del Poder Ejecutivo y de la Administración Pública de la Ciudad de México; Artículo 7 fracción II, inciso A), numeral 1 y Artículo 71 fracción V del Reglamento Interior del Poder Ejecutivo y de la Administración Pública de la Ciudad de México; Regla 12 fracción XIII de las Reglas de Operación del Consejo de Armonización Contable de la Ciudad de México “CONSAC-CDMX” y al</w:t>
      </w:r>
      <w:r w:rsidR="00A22B19" w:rsidRPr="00D87DD9">
        <w:rPr>
          <w:rFonts w:ascii="Times New Roman" w:eastAsia="Times New Roman" w:hAnsi="Times New Roman" w:cs="Times New Roman"/>
          <w:sz w:val="20"/>
          <w:szCs w:val="20"/>
          <w:lang w:val="es-ES" w:eastAsia="es-ES"/>
        </w:rPr>
        <w:t xml:space="preserve"> Acuerdo por el que se Reforma y Adiciona la Clasificación Programática (Tipología General)</w:t>
      </w:r>
      <w:r w:rsidRPr="00D87DD9">
        <w:rPr>
          <w:rFonts w:ascii="Times New Roman" w:eastAsia="Times New Roman" w:hAnsi="Times New Roman" w:cs="Times New Roman"/>
          <w:sz w:val="20"/>
          <w:szCs w:val="20"/>
          <w:lang w:val="es-ES" w:eastAsia="es-ES"/>
        </w:rPr>
        <w:t xml:space="preserve"> en su Transitorio </w:t>
      </w:r>
      <w:r w:rsidR="00A22B19" w:rsidRPr="00D87DD9">
        <w:rPr>
          <w:rFonts w:ascii="Times New Roman" w:eastAsia="Times New Roman" w:hAnsi="Times New Roman" w:cs="Times New Roman"/>
          <w:sz w:val="20"/>
          <w:szCs w:val="20"/>
          <w:lang w:val="es-ES" w:eastAsia="es-ES"/>
        </w:rPr>
        <w:t>Segundo</w:t>
      </w:r>
      <w:r w:rsidRPr="00D87DD9">
        <w:rPr>
          <w:rFonts w:ascii="Times New Roman" w:eastAsia="Times New Roman" w:hAnsi="Times New Roman" w:cs="Times New Roman"/>
          <w:sz w:val="20"/>
          <w:szCs w:val="20"/>
          <w:lang w:val="es-ES" w:eastAsia="es-ES"/>
        </w:rPr>
        <w:t xml:space="preserve">, publicado el </w:t>
      </w:r>
      <w:r w:rsidR="00A22B19" w:rsidRPr="00D87DD9">
        <w:rPr>
          <w:rFonts w:ascii="Times New Roman" w:eastAsia="Times New Roman" w:hAnsi="Times New Roman" w:cs="Times New Roman"/>
          <w:sz w:val="20"/>
          <w:szCs w:val="20"/>
          <w:lang w:val="es-ES" w:eastAsia="es-ES"/>
        </w:rPr>
        <w:t xml:space="preserve">29 </w:t>
      </w:r>
      <w:r w:rsidRPr="00D87DD9">
        <w:rPr>
          <w:rFonts w:ascii="Times New Roman" w:eastAsia="Times New Roman" w:hAnsi="Times New Roman" w:cs="Times New Roman"/>
          <w:sz w:val="20"/>
          <w:szCs w:val="20"/>
          <w:lang w:val="es-ES" w:eastAsia="es-ES"/>
        </w:rPr>
        <w:t xml:space="preserve">de </w:t>
      </w:r>
      <w:r w:rsidR="00A22B19" w:rsidRPr="00D87DD9">
        <w:rPr>
          <w:rFonts w:ascii="Times New Roman" w:eastAsia="Times New Roman" w:hAnsi="Times New Roman" w:cs="Times New Roman"/>
          <w:sz w:val="20"/>
          <w:szCs w:val="20"/>
          <w:lang w:val="es-ES" w:eastAsia="es-ES"/>
        </w:rPr>
        <w:t xml:space="preserve">junio </w:t>
      </w:r>
      <w:r w:rsidRPr="00D87DD9">
        <w:rPr>
          <w:rFonts w:ascii="Times New Roman" w:eastAsia="Times New Roman" w:hAnsi="Times New Roman" w:cs="Times New Roman"/>
          <w:sz w:val="20"/>
          <w:szCs w:val="20"/>
          <w:lang w:val="es-ES" w:eastAsia="es-ES"/>
        </w:rPr>
        <w:t>de</w:t>
      </w:r>
      <w:r w:rsidR="00A22B19" w:rsidRPr="00D87DD9">
        <w:rPr>
          <w:rFonts w:ascii="Times New Roman" w:eastAsia="Times New Roman" w:hAnsi="Times New Roman" w:cs="Times New Roman"/>
          <w:sz w:val="20"/>
          <w:szCs w:val="20"/>
          <w:lang w:val="es-ES" w:eastAsia="es-ES"/>
        </w:rPr>
        <w:t xml:space="preserve"> </w:t>
      </w:r>
      <w:r w:rsidRPr="00D87DD9">
        <w:rPr>
          <w:rFonts w:ascii="Times New Roman" w:eastAsia="Times New Roman" w:hAnsi="Times New Roman" w:cs="Times New Roman"/>
          <w:sz w:val="20"/>
          <w:szCs w:val="20"/>
          <w:lang w:val="es-ES" w:eastAsia="es-ES"/>
        </w:rPr>
        <w:t>202</w:t>
      </w:r>
      <w:r w:rsidR="00A22B19" w:rsidRPr="00D87DD9">
        <w:rPr>
          <w:rFonts w:ascii="Times New Roman" w:eastAsia="Times New Roman" w:hAnsi="Times New Roman" w:cs="Times New Roman"/>
          <w:sz w:val="20"/>
          <w:szCs w:val="20"/>
          <w:lang w:val="es-ES" w:eastAsia="es-ES"/>
        </w:rPr>
        <w:t>6</w:t>
      </w:r>
      <w:r w:rsidRPr="00D87DD9">
        <w:rPr>
          <w:rFonts w:ascii="Times New Roman" w:eastAsia="Times New Roman" w:hAnsi="Times New Roman" w:cs="Times New Roman"/>
          <w:sz w:val="20"/>
          <w:szCs w:val="20"/>
          <w:lang w:val="es-ES" w:eastAsia="es-ES"/>
        </w:rPr>
        <w:t xml:space="preserve"> en el Diario Oficial de la Federación, emito el siguiente:</w:t>
      </w:r>
    </w:p>
    <w:p w14:paraId="72980C36" w14:textId="303E5BDE" w:rsidR="000177AA" w:rsidRPr="00D87DD9" w:rsidRDefault="000177AA" w:rsidP="00930740">
      <w:pPr>
        <w:spacing w:after="0" w:line="240" w:lineRule="auto"/>
        <w:jc w:val="both"/>
        <w:rPr>
          <w:rFonts w:ascii="Times New Roman" w:hAnsi="Times New Roman" w:cs="Times New Roman"/>
          <w:sz w:val="20"/>
          <w:szCs w:val="20"/>
        </w:rPr>
      </w:pPr>
    </w:p>
    <w:p w14:paraId="660F4EAD" w14:textId="14AD1826" w:rsidR="00A22B19" w:rsidRPr="00D87DD9" w:rsidRDefault="0005165A" w:rsidP="00930740">
      <w:pPr>
        <w:spacing w:after="0" w:line="240" w:lineRule="auto"/>
        <w:jc w:val="center"/>
        <w:rPr>
          <w:rFonts w:ascii="Times New Roman" w:hAnsi="Times New Roman" w:cs="Times New Roman"/>
          <w:b/>
          <w:sz w:val="20"/>
          <w:szCs w:val="20"/>
        </w:rPr>
      </w:pPr>
      <w:bookmarkStart w:id="0" w:name="_Hlk172016789"/>
      <w:r w:rsidRPr="00D87DD9">
        <w:rPr>
          <w:rFonts w:ascii="Times New Roman" w:hAnsi="Times New Roman" w:cs="Times New Roman"/>
          <w:b/>
          <w:sz w:val="20"/>
          <w:szCs w:val="20"/>
        </w:rPr>
        <w:t xml:space="preserve">Aviso por el cual se da a conocer el </w:t>
      </w:r>
      <w:r w:rsidR="00A22B19" w:rsidRPr="00D87DD9">
        <w:rPr>
          <w:rFonts w:ascii="Times New Roman" w:hAnsi="Times New Roman" w:cs="Times New Roman"/>
          <w:b/>
          <w:sz w:val="20"/>
          <w:szCs w:val="20"/>
        </w:rPr>
        <w:t xml:space="preserve">Acuerdo por el que se Reforma y Adiciona la Clasificación Programática </w:t>
      </w:r>
    </w:p>
    <w:p w14:paraId="4572EE96" w14:textId="443CA83F" w:rsidR="005745E4" w:rsidRPr="00D87DD9" w:rsidRDefault="00A22B19" w:rsidP="00930740">
      <w:pPr>
        <w:spacing w:after="0" w:line="240" w:lineRule="auto"/>
        <w:jc w:val="center"/>
        <w:rPr>
          <w:rFonts w:ascii="Times New Roman" w:hAnsi="Times New Roman" w:cs="Times New Roman"/>
          <w:b/>
          <w:sz w:val="20"/>
          <w:szCs w:val="20"/>
        </w:rPr>
      </w:pPr>
      <w:r w:rsidRPr="00D87DD9">
        <w:rPr>
          <w:rFonts w:ascii="Times New Roman" w:hAnsi="Times New Roman" w:cs="Times New Roman"/>
          <w:b/>
          <w:sz w:val="20"/>
          <w:szCs w:val="20"/>
        </w:rPr>
        <w:t>(Tipología General)</w:t>
      </w:r>
    </w:p>
    <w:p w14:paraId="0604A760" w14:textId="77777777" w:rsidR="00A22B19" w:rsidRPr="00D87DD9" w:rsidRDefault="00A22B19" w:rsidP="00930740">
      <w:pPr>
        <w:spacing w:after="0" w:line="240" w:lineRule="auto"/>
        <w:jc w:val="center"/>
        <w:rPr>
          <w:rFonts w:ascii="Times New Roman" w:hAnsi="Times New Roman" w:cs="Times New Roman"/>
          <w:b/>
          <w:sz w:val="20"/>
          <w:szCs w:val="20"/>
        </w:rPr>
      </w:pPr>
    </w:p>
    <w:p w14:paraId="40394E39" w14:textId="77777777" w:rsidR="00C06C6A" w:rsidRPr="00D87DD9" w:rsidRDefault="00C06C6A" w:rsidP="00930740">
      <w:pPr>
        <w:spacing w:after="0" w:line="240" w:lineRule="auto"/>
        <w:jc w:val="center"/>
        <w:rPr>
          <w:rFonts w:ascii="Times New Roman" w:hAnsi="Times New Roman" w:cs="Times New Roman"/>
          <w:b/>
          <w:sz w:val="20"/>
          <w:szCs w:val="20"/>
          <w:lang w:val="es-ES"/>
        </w:rPr>
      </w:pPr>
      <w:r w:rsidRPr="00D87DD9">
        <w:rPr>
          <w:rFonts w:ascii="Times New Roman" w:hAnsi="Times New Roman" w:cs="Times New Roman"/>
          <w:b/>
          <w:sz w:val="20"/>
          <w:szCs w:val="20"/>
        </w:rPr>
        <w:t>Considerando</w:t>
      </w:r>
    </w:p>
    <w:bookmarkEnd w:id="0"/>
    <w:p w14:paraId="717ABBF8" w14:textId="77777777" w:rsidR="00C06C6A" w:rsidRPr="00D87DD9" w:rsidRDefault="00C06C6A" w:rsidP="00930740">
      <w:pPr>
        <w:spacing w:after="0" w:line="240" w:lineRule="auto"/>
        <w:jc w:val="both"/>
        <w:rPr>
          <w:rFonts w:ascii="Times New Roman" w:hAnsi="Times New Roman" w:cs="Times New Roman"/>
          <w:sz w:val="20"/>
          <w:szCs w:val="20"/>
          <w:lang w:val="es-ES"/>
        </w:rPr>
      </w:pPr>
    </w:p>
    <w:p w14:paraId="0C89FC14" w14:textId="77777777" w:rsidR="00C06C6A" w:rsidRPr="00D87DD9" w:rsidRDefault="00C06C6A" w:rsidP="00930740">
      <w:pPr>
        <w:spacing w:after="0" w:line="240" w:lineRule="auto"/>
        <w:jc w:val="both"/>
        <w:rPr>
          <w:rFonts w:ascii="Times New Roman" w:hAnsi="Times New Roman" w:cs="Times New Roman"/>
          <w:sz w:val="20"/>
          <w:szCs w:val="20"/>
          <w:lang w:val="es-ES"/>
        </w:rPr>
      </w:pPr>
      <w:r w:rsidRPr="00D87DD9">
        <w:rPr>
          <w:rFonts w:ascii="Times New Roman" w:hAnsi="Times New Roman" w:cs="Times New Roman"/>
          <w:sz w:val="20"/>
          <w:szCs w:val="20"/>
          <w:lang w:val="es-ES"/>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24983CCC" w14:textId="77777777" w:rsidR="00C06C6A" w:rsidRPr="00D87DD9" w:rsidRDefault="00C06C6A" w:rsidP="00930740">
      <w:pPr>
        <w:spacing w:after="0" w:line="240" w:lineRule="auto"/>
        <w:jc w:val="both"/>
        <w:rPr>
          <w:rFonts w:ascii="Times New Roman" w:hAnsi="Times New Roman" w:cs="Times New Roman"/>
          <w:sz w:val="20"/>
          <w:szCs w:val="20"/>
          <w:lang w:val="es-ES"/>
        </w:rPr>
      </w:pPr>
    </w:p>
    <w:p w14:paraId="7F61140E" w14:textId="77777777" w:rsidR="00C06C6A" w:rsidRPr="00D87DD9" w:rsidRDefault="00C06C6A" w:rsidP="00930740">
      <w:pPr>
        <w:spacing w:after="0" w:line="240" w:lineRule="auto"/>
        <w:jc w:val="both"/>
        <w:rPr>
          <w:rFonts w:ascii="Times New Roman" w:hAnsi="Times New Roman" w:cs="Times New Roman"/>
          <w:sz w:val="20"/>
          <w:szCs w:val="20"/>
          <w:lang w:val="es-ES"/>
        </w:rPr>
      </w:pPr>
      <w:r w:rsidRPr="00D87DD9">
        <w:rPr>
          <w:rFonts w:ascii="Times New Roman" w:hAnsi="Times New Roman" w:cs="Times New Roman"/>
          <w:sz w:val="20"/>
          <w:szCs w:val="20"/>
          <w:lang w:val="es-ES"/>
        </w:rPr>
        <w:t>Que el artículo 43 de la LGCG establece que los entes públicos estarán obligados a conservar y poner a disposición de las autoridades competentes los documentos, comprobatorios y justificativos, así como los libros principales de contabilidad, de conformidad con los lineamientos que para tal efecto establezca el CONAC.</w:t>
      </w:r>
    </w:p>
    <w:p w14:paraId="4A4B54E5" w14:textId="77777777" w:rsidR="00C06C6A" w:rsidRPr="00D87DD9" w:rsidRDefault="00C06C6A" w:rsidP="00930740">
      <w:pPr>
        <w:spacing w:after="0" w:line="240" w:lineRule="auto"/>
        <w:jc w:val="both"/>
        <w:rPr>
          <w:rFonts w:ascii="Times New Roman" w:hAnsi="Times New Roman" w:cs="Times New Roman"/>
          <w:sz w:val="20"/>
          <w:szCs w:val="20"/>
          <w:lang w:val="es-ES"/>
        </w:rPr>
      </w:pPr>
    </w:p>
    <w:p w14:paraId="07AFAF54" w14:textId="5669DC8E" w:rsidR="00C06C6A" w:rsidRPr="00D87DD9" w:rsidRDefault="00C06C6A" w:rsidP="00930740">
      <w:pPr>
        <w:spacing w:after="0" w:line="240" w:lineRule="auto"/>
        <w:jc w:val="both"/>
        <w:rPr>
          <w:rFonts w:ascii="Times New Roman" w:hAnsi="Times New Roman" w:cs="Times New Roman"/>
          <w:b/>
          <w:sz w:val="20"/>
          <w:szCs w:val="20"/>
        </w:rPr>
      </w:pPr>
      <w:r w:rsidRPr="00D87DD9">
        <w:rPr>
          <w:rFonts w:ascii="Times New Roman" w:hAnsi="Times New Roman" w:cs="Times New Roman"/>
          <w:sz w:val="20"/>
          <w:szCs w:val="20"/>
          <w:lang w:val="es-ES"/>
        </w:rPr>
        <w:t xml:space="preserve">Que el Consejo Nacional de Armonización Contable publicó en el Diario Oficial de la Federación el </w:t>
      </w:r>
      <w:r w:rsidR="00CE611C" w:rsidRPr="00D87DD9">
        <w:rPr>
          <w:rFonts w:ascii="Times New Roman" w:hAnsi="Times New Roman" w:cs="Times New Roman"/>
          <w:sz w:val="20"/>
          <w:szCs w:val="20"/>
          <w:lang w:val="es-ES"/>
        </w:rPr>
        <w:t>29</w:t>
      </w:r>
      <w:r w:rsidRPr="00D87DD9">
        <w:rPr>
          <w:rFonts w:ascii="Times New Roman" w:hAnsi="Times New Roman" w:cs="Times New Roman"/>
          <w:sz w:val="20"/>
          <w:szCs w:val="20"/>
          <w:lang w:val="es-ES"/>
        </w:rPr>
        <w:t xml:space="preserve"> de </w:t>
      </w:r>
      <w:r w:rsidR="00CE611C" w:rsidRPr="00D87DD9">
        <w:rPr>
          <w:rFonts w:ascii="Times New Roman" w:hAnsi="Times New Roman" w:cs="Times New Roman"/>
          <w:sz w:val="20"/>
          <w:szCs w:val="20"/>
          <w:lang w:val="es-ES"/>
        </w:rPr>
        <w:t xml:space="preserve">junio </w:t>
      </w:r>
      <w:r w:rsidRPr="00D87DD9">
        <w:rPr>
          <w:rFonts w:ascii="Times New Roman" w:hAnsi="Times New Roman" w:cs="Times New Roman"/>
          <w:sz w:val="20"/>
          <w:szCs w:val="20"/>
          <w:lang w:val="es-ES"/>
        </w:rPr>
        <w:t>de 202</w:t>
      </w:r>
      <w:r w:rsidR="00CE611C" w:rsidRPr="00D87DD9">
        <w:rPr>
          <w:rFonts w:ascii="Times New Roman" w:hAnsi="Times New Roman" w:cs="Times New Roman"/>
          <w:sz w:val="20"/>
          <w:szCs w:val="20"/>
          <w:lang w:val="es-ES"/>
        </w:rPr>
        <w:t>6</w:t>
      </w:r>
      <w:r w:rsidRPr="00D87DD9">
        <w:rPr>
          <w:rFonts w:ascii="Times New Roman" w:hAnsi="Times New Roman" w:cs="Times New Roman"/>
          <w:sz w:val="20"/>
          <w:szCs w:val="20"/>
          <w:lang w:val="es-ES"/>
        </w:rPr>
        <w:t>, el</w:t>
      </w:r>
      <w:r w:rsidR="00224394" w:rsidRPr="00D87DD9">
        <w:rPr>
          <w:rFonts w:ascii="Times New Roman" w:hAnsi="Times New Roman" w:cs="Times New Roman"/>
          <w:sz w:val="20"/>
          <w:szCs w:val="20"/>
          <w:lang w:val="es-ES"/>
        </w:rPr>
        <w:t xml:space="preserve"> </w:t>
      </w:r>
      <w:r w:rsidR="00CE611C" w:rsidRPr="00D87DD9">
        <w:rPr>
          <w:rFonts w:ascii="Times New Roman" w:eastAsia="Times New Roman" w:hAnsi="Times New Roman" w:cs="Times New Roman"/>
          <w:sz w:val="20"/>
          <w:szCs w:val="20"/>
          <w:lang w:val="es-ES" w:eastAsia="es-ES"/>
        </w:rPr>
        <w:t>Acuerdo por el que se Reforma y Adiciona la Clasificación Programática (Tipología General)</w:t>
      </w:r>
      <w:r w:rsidRPr="00D87DD9">
        <w:rPr>
          <w:rFonts w:ascii="Times New Roman" w:hAnsi="Times New Roman" w:cs="Times New Roman"/>
          <w:bCs/>
          <w:sz w:val="20"/>
          <w:szCs w:val="20"/>
          <w:lang w:val="es-ES"/>
        </w:rPr>
        <w:t>, el cual tengo a bien</w:t>
      </w:r>
      <w:r w:rsidRPr="00D87DD9">
        <w:rPr>
          <w:rFonts w:ascii="Times New Roman" w:hAnsi="Times New Roman" w:cs="Times New Roman"/>
          <w:sz w:val="20"/>
          <w:szCs w:val="20"/>
          <w:lang w:val="es-ES"/>
        </w:rPr>
        <w:t xml:space="preserve"> transcribir como a continuación se observa:</w:t>
      </w:r>
    </w:p>
    <w:p w14:paraId="7FFA695C" w14:textId="77777777" w:rsidR="00C06C6A" w:rsidRPr="00D87DD9" w:rsidRDefault="00C06C6A" w:rsidP="00930740">
      <w:pPr>
        <w:spacing w:after="0" w:line="240" w:lineRule="auto"/>
        <w:jc w:val="both"/>
        <w:rPr>
          <w:rFonts w:ascii="Times New Roman" w:hAnsi="Times New Roman" w:cs="Times New Roman"/>
          <w:sz w:val="20"/>
          <w:szCs w:val="20"/>
        </w:rPr>
      </w:pPr>
    </w:p>
    <w:p w14:paraId="2DB6062F" w14:textId="6DD9E9CB" w:rsidR="00CE611C" w:rsidRPr="00D87DD9" w:rsidRDefault="00274338" w:rsidP="00930740">
      <w:pPr>
        <w:pStyle w:val="Texto"/>
        <w:spacing w:after="0" w:line="240" w:lineRule="auto"/>
        <w:ind w:firstLine="0"/>
        <w:jc w:val="center"/>
        <w:rPr>
          <w:rFonts w:ascii="Times New Roman" w:hAnsi="Times New Roman" w:cs="Times New Roman"/>
          <w:b/>
          <w:bCs/>
          <w:sz w:val="20"/>
          <w:lang w:val="es-ES_tradnl"/>
        </w:rPr>
      </w:pPr>
      <w:r>
        <w:rPr>
          <w:rFonts w:ascii="Times New Roman" w:hAnsi="Times New Roman" w:cs="Times New Roman"/>
          <w:b/>
          <w:bCs/>
          <w:sz w:val="20"/>
          <w:lang w:val="es-ES_tradnl"/>
        </w:rPr>
        <w:t>“</w:t>
      </w:r>
      <w:r w:rsidR="00CE611C" w:rsidRPr="00D87DD9">
        <w:rPr>
          <w:rFonts w:ascii="Times New Roman" w:hAnsi="Times New Roman" w:cs="Times New Roman"/>
          <w:b/>
          <w:bCs/>
          <w:sz w:val="20"/>
          <w:lang w:val="es-ES_tradnl"/>
        </w:rPr>
        <w:t>ACUERDO POR EL QUE SE REFORMA Y ADICIONA LA CLASIFICACIÓN PROGRAMÁTICA</w:t>
      </w:r>
    </w:p>
    <w:p w14:paraId="61DC7513" w14:textId="3B17F491" w:rsidR="00CE611C" w:rsidRPr="00D87DD9" w:rsidRDefault="00CE611C" w:rsidP="00930740">
      <w:pPr>
        <w:pStyle w:val="Texto"/>
        <w:spacing w:after="0" w:line="240" w:lineRule="auto"/>
        <w:ind w:firstLine="0"/>
        <w:jc w:val="center"/>
        <w:rPr>
          <w:rFonts w:ascii="Times New Roman" w:hAnsi="Times New Roman" w:cs="Times New Roman"/>
          <w:b/>
          <w:bCs/>
          <w:sz w:val="20"/>
          <w:lang w:val="es-ES_tradnl"/>
        </w:rPr>
      </w:pPr>
      <w:r w:rsidRPr="00D87DD9">
        <w:rPr>
          <w:rFonts w:ascii="Times New Roman" w:hAnsi="Times New Roman" w:cs="Times New Roman"/>
          <w:b/>
          <w:bCs/>
          <w:sz w:val="20"/>
          <w:lang w:val="es-ES_tradnl"/>
        </w:rPr>
        <w:t>(TIPOLOGÍA GENERAL)</w:t>
      </w:r>
    </w:p>
    <w:p w14:paraId="238F880D" w14:textId="77777777" w:rsidR="00CE611C" w:rsidRPr="00D87DD9" w:rsidRDefault="00CE611C" w:rsidP="00930740">
      <w:pPr>
        <w:pStyle w:val="Texto"/>
        <w:spacing w:after="0" w:line="240" w:lineRule="auto"/>
        <w:ind w:firstLine="0"/>
        <w:jc w:val="center"/>
        <w:rPr>
          <w:rFonts w:ascii="Times New Roman" w:hAnsi="Times New Roman" w:cs="Times New Roman"/>
          <w:b/>
          <w:bCs/>
          <w:sz w:val="20"/>
          <w:lang w:val="es-ES_tradnl"/>
        </w:rPr>
      </w:pPr>
    </w:p>
    <w:p w14:paraId="61843C95" w14:textId="3AE2A2E2" w:rsidR="00CE611C" w:rsidRPr="00D87DD9" w:rsidRDefault="00CE611C" w:rsidP="00930740">
      <w:pPr>
        <w:pStyle w:val="Texto"/>
        <w:spacing w:after="0" w:line="240" w:lineRule="auto"/>
        <w:ind w:firstLine="0"/>
        <w:jc w:val="center"/>
        <w:rPr>
          <w:rFonts w:ascii="Times New Roman" w:hAnsi="Times New Roman" w:cs="Times New Roman"/>
          <w:b/>
          <w:bCs/>
          <w:sz w:val="20"/>
          <w:lang w:val="es-ES_tradnl"/>
        </w:rPr>
      </w:pPr>
      <w:r w:rsidRPr="00D87DD9">
        <w:rPr>
          <w:rFonts w:ascii="Times New Roman" w:hAnsi="Times New Roman" w:cs="Times New Roman"/>
          <w:b/>
          <w:bCs/>
          <w:sz w:val="20"/>
          <w:lang w:val="es-ES_tradnl"/>
        </w:rPr>
        <w:t>CONSIDERANDO</w:t>
      </w:r>
    </w:p>
    <w:p w14:paraId="3D904754"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29150270" w14:textId="14F2B180"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0CA26FA2"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260B4227" w14:textId="630D3476"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en este marco y en cumplimiento de sus funciones, el Consejo Nacional de Armonización Contable (CONAC) publicó en el Diario Oficial de la Federación el 8 de agosto de 2013, el Acuerdo por el que se emite la Clasificación Programática (Tipología general), cuya modificación se publicó en el mismo medio de difusión oficial el 13 de junio de 2025.</w:t>
      </w:r>
    </w:p>
    <w:p w14:paraId="1C62A9BA"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18F5A63D" w14:textId="4EA14862"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la emisión de dicho Acuerdo ha representado un avance significativo en la estandarización y homologación de los criterios contables y presupuestarios en el sector público, fortaleciendo la comparabilidad y transparencia de la información financiera. La emisión y actualización realizadas en 2013 y 2025, para su implementación en el Presupuesto de Egresos de la Federación para los ejercicios fiscales 2014 y 2026, respectivamente, han permitido incorporar mejoras relevantes en la clasificación del gasto público, así como en la armonización de los registros contables entre los distintos órdenes de gobierno. Estos esfuerzos han contribuido a consolidar un marco normativo más robusto para la gestión de los recursos públicos.</w:t>
      </w:r>
    </w:p>
    <w:p w14:paraId="364CB0DC" w14:textId="38D605D1" w:rsidR="00E11D79" w:rsidRPr="00D87DD9" w:rsidRDefault="00E11D79" w:rsidP="00930740">
      <w:pPr>
        <w:spacing w:after="0" w:line="240" w:lineRule="auto"/>
        <w:rPr>
          <w:rFonts w:ascii="Times New Roman" w:eastAsia="Times New Roman" w:hAnsi="Times New Roman" w:cs="Times New Roman"/>
          <w:sz w:val="20"/>
          <w:szCs w:val="20"/>
          <w:lang w:val="es-ES_tradnl" w:eastAsia="es-ES"/>
        </w:rPr>
      </w:pPr>
      <w:r w:rsidRPr="00D87DD9">
        <w:rPr>
          <w:rFonts w:ascii="Times New Roman" w:hAnsi="Times New Roman" w:cs="Times New Roman"/>
          <w:sz w:val="20"/>
          <w:szCs w:val="20"/>
          <w:lang w:val="es-ES_tradnl"/>
        </w:rPr>
        <w:br w:type="page"/>
      </w:r>
    </w:p>
    <w:p w14:paraId="22F7445C" w14:textId="1015FB0C"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lastRenderedPageBreak/>
        <w:t>Que resulta necesario profundizar en la claridad y precisión de la clasificación del gasto público, a fin de fortalecer su eficiencia y dotarlo de un mayor enfoque estratégico. En este sentido, resulta pertinente mantener una revisión periódica de la clasificación programática y continuar con la mejora de los criterios establecidos por el CONAC para que estos sirvan como una guía efectiva en la adecuación de las intervenciones del ámbito federal y de los gobiernos subnacionales. Una mayor especificidad en la clasificación permitirá reflejar con mayor fidelidad la naturaleza de las acciones gubernamentales, mejorar la toma de decisiones y optimizar el uso de los recursos públicos en función de resultados e impactos más claros.</w:t>
      </w:r>
    </w:p>
    <w:p w14:paraId="5634FBF2"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03063ADE" w14:textId="3729B5EC"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la modernización de la estructura programática permite fortalecer la calidad del gasto y mejorar la toma de decisiones públicas, basada en el uso eficiente, transparente y estratégico de los recursos públicos como prioridad permanente, en congruencia con los principios de racionalidad, eficacia y eficiencia, al permitir la asignación, seguimiento y evaluación de los recursos públicos a través de programas presupuestarios, la cual debe contener la trazabilidad del gasto público, fortalecer la lógica de intervención de las políticas públicas y facilitar su evaluación.</w:t>
      </w:r>
    </w:p>
    <w:p w14:paraId="57FDDC5F"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210D0807" w14:textId="49B24B41"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resulta necesario profundizar en la diferenciación de las intervenciones públicas conforme a su naturaleza y propósito, a fin de consolidar los avances alcanzados.</w:t>
      </w:r>
    </w:p>
    <w:p w14:paraId="1FBC3F51"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0BF9C2EC" w14:textId="40FC0799"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resulta fundamental visibilizar adecuadamente estas actividades dentro de los sistemas de planeación y presupuestación pública, a fin de distinguirlas de otras intervenciones orientadas a la prestación de servicios o al apoyo de la gestión gubernamental. La correcta identificación de estas funciones permite fortalecer la comprensión del valor público que generan, mejorar la asignación de recursos y evitar interpretaciones erróneas sobre su propósito</w:t>
      </w:r>
    </w:p>
    <w:p w14:paraId="0BFB858E"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07B7A211" w14:textId="13D5CBE3"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dentro de la actual Modalidad “E”, “Prestación de servicios públicos” coexisten acciones de carácter heterogéneo que, en diversos casos, no responden estrictamente a la lógica de prestación directa de servicios a la población para satisfacer demandas y necesidades de la sociedad. Esta situación puede limitar la adecuada visibilidad de dichas acciones y generar distorsiones en la interpretación del gasto y en la evaluación del desempeño. Por tanto, la Modalidad “E” se centrará exclusivamente en las actividades que realiza el sector público de manera regular y continua, mediante las cuales se proporcionan servicios que son recibidos de forma directa por la población, sin la mediación de otras instancias, para satisfacer demandas y necesidades colectivas, así como el acceso a servicios públicos en garantía a los derechos fundamentales de la población. Esta diferenciación contribuye a mejorar los mecanismos de seguimiento y evaluación, promoviendo una gestión orientada a resultados y una mayor rendición de cuentas ante la ciudadanía.</w:t>
      </w:r>
    </w:p>
    <w:p w14:paraId="578685C6"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2AD120D9" w14:textId="4B3F5401" w:rsidR="00CE611C"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la inclusión de la Modalidad “X”, "Funciones para la gobernanza institucional" permite diferenciar acciones de carácter heterogéneo orientadas al desarrollo de funciones sustantivas de los gobiernos, cuyos entregables se dirigen principalmente a otras instituciones públicas. Disponer de una modalidad específica para estas funciones permite visibilizar acciones que se relacionan en mayor medida con las facultades correspondientes a los entes públicos, cuya implementación deriva en la ejecución de actividades que involucran la interacción, o la participación, de la población. Estas actividades representan funciones necesarias para el cumplimiento de responsabilidades del Estado, las cuales no constituyen, por sí mismas, demandas sociales, sino que se centran en actividades gubernamentales, tales como funciones aduaneras, de recaudación tributaria, catastro, funciones registrales, control vehicular, regulación de mercados y panteones, preservación del patrimonio documental, histórico y cultural, gestión de expropiaciones, actividades asociadas al ciclo de producción de energía eléctrica y petróleo, así como servicios auxiliares inherentes al desarrollo de éstos, administración del sistema penitenciario, inteligencia en materia de seguridad y otras funciones de gobierno con estas características.</w:t>
      </w:r>
    </w:p>
    <w:p w14:paraId="109F6D69"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7FB1F131" w14:textId="5EC6EDD8" w:rsidR="000C3239" w:rsidRPr="00D87DD9" w:rsidRDefault="00CE611C"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Que estos ajustes contribuirán a evitar distorsiones en la interpretación del gasto público, facilitando una lectura más precisa de la asignación de recursos y de los objetivos que persiguen las distintas acciones gubernamentales. Asimismo, permitirá mejorar los procesos de seguimiento y evaluación, al contar con categorías más congruentes con la naturaleza de las intervenciones para fortalecer la coherencia programática y la transparencia.</w:t>
      </w:r>
    </w:p>
    <w:p w14:paraId="7BCD7687" w14:textId="77777777" w:rsidR="00CE611C" w:rsidRPr="00D87DD9" w:rsidRDefault="00CE611C" w:rsidP="00930740">
      <w:pPr>
        <w:pStyle w:val="Texto"/>
        <w:spacing w:after="0" w:line="240" w:lineRule="auto"/>
        <w:ind w:firstLine="0"/>
        <w:rPr>
          <w:rFonts w:ascii="Times New Roman" w:hAnsi="Times New Roman" w:cs="Times New Roman"/>
          <w:sz w:val="20"/>
          <w:lang w:val="es-ES_tradnl"/>
        </w:rPr>
      </w:pPr>
    </w:p>
    <w:p w14:paraId="5F1362F2" w14:textId="54632D4B" w:rsidR="005745E4" w:rsidRPr="00D87DD9" w:rsidRDefault="005745E4" w:rsidP="00930740">
      <w:pPr>
        <w:pStyle w:val="Texto"/>
        <w:spacing w:after="0" w:line="240" w:lineRule="auto"/>
        <w:ind w:firstLine="0"/>
        <w:rPr>
          <w:rFonts w:ascii="Times New Roman" w:hAnsi="Times New Roman" w:cs="Times New Roman"/>
          <w:sz w:val="20"/>
          <w:lang w:val="es-ES_tradnl"/>
        </w:rPr>
      </w:pPr>
      <w:r w:rsidRPr="00D87DD9">
        <w:rPr>
          <w:rFonts w:ascii="Times New Roman" w:hAnsi="Times New Roman" w:cs="Times New Roman"/>
          <w:sz w:val="20"/>
          <w:lang w:val="es-ES_tradnl"/>
        </w:rPr>
        <w:t>Por lo anterior, el Consejo Nacional de Armonización Contable aprobó el siguiente:</w:t>
      </w:r>
    </w:p>
    <w:p w14:paraId="790125CC" w14:textId="77777777" w:rsidR="005D042E" w:rsidRPr="00D87DD9" w:rsidRDefault="005D042E" w:rsidP="00930740">
      <w:pPr>
        <w:pStyle w:val="Texto"/>
        <w:spacing w:after="0" w:line="240" w:lineRule="auto"/>
        <w:ind w:firstLine="0"/>
        <w:rPr>
          <w:rFonts w:ascii="Times New Roman" w:hAnsi="Times New Roman" w:cs="Times New Roman"/>
          <w:sz w:val="20"/>
          <w:lang w:val="es-ES_tradnl"/>
        </w:rPr>
      </w:pPr>
    </w:p>
    <w:p w14:paraId="7DA0222D" w14:textId="77777777" w:rsidR="00E11D79" w:rsidRPr="00D87DD9" w:rsidRDefault="00CE611C" w:rsidP="00930740">
      <w:pPr>
        <w:pStyle w:val="ANOTACION"/>
        <w:spacing w:before="0" w:after="0" w:line="240" w:lineRule="auto"/>
        <w:rPr>
          <w:sz w:val="20"/>
        </w:rPr>
      </w:pPr>
      <w:r w:rsidRPr="00D87DD9">
        <w:rPr>
          <w:sz w:val="20"/>
        </w:rPr>
        <w:t>ACUERDO POR EL QUE SE REFORMA Y ADICIONA LA CLASIFICACIÓN PROGRAMÁTICA</w:t>
      </w:r>
    </w:p>
    <w:p w14:paraId="511D85F3" w14:textId="17234452" w:rsidR="00CE611C" w:rsidRPr="00D87DD9" w:rsidRDefault="00CE611C" w:rsidP="00930740">
      <w:pPr>
        <w:pStyle w:val="ANOTACION"/>
        <w:spacing w:before="0" w:after="0" w:line="240" w:lineRule="auto"/>
        <w:rPr>
          <w:sz w:val="20"/>
        </w:rPr>
      </w:pPr>
      <w:r w:rsidRPr="00D87DD9">
        <w:rPr>
          <w:sz w:val="20"/>
        </w:rPr>
        <w:t>(TIPOLOGÍA GENERAL)</w:t>
      </w:r>
    </w:p>
    <w:p w14:paraId="24E350A2" w14:textId="77777777" w:rsidR="00E11D79" w:rsidRPr="00D87DD9" w:rsidRDefault="00E11D79" w:rsidP="00930740">
      <w:pPr>
        <w:pStyle w:val="ANOTACION"/>
        <w:spacing w:before="0" w:after="0" w:line="240" w:lineRule="auto"/>
        <w:jc w:val="left"/>
        <w:rPr>
          <w:sz w:val="20"/>
        </w:rPr>
      </w:pPr>
    </w:p>
    <w:p w14:paraId="013A3574" w14:textId="69AF085D" w:rsidR="00930740" w:rsidRPr="00D87DD9" w:rsidRDefault="00CE611C" w:rsidP="003E583D">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ARTÍCULO ÚNICO.</w:t>
      </w:r>
      <w:r w:rsidRPr="00D87DD9">
        <w:rPr>
          <w:rFonts w:ascii="Times New Roman" w:hAnsi="Times New Roman" w:cs="Times New Roman"/>
          <w:sz w:val="20"/>
        </w:rPr>
        <w:t xml:space="preserve"> Se reforma la Clasificación Programática (Tipología general), adicionando la modalidad X Funciones para la gobernanza institucional y se reforman las Características Generales de la modalidad E Prestación de Servicios Públicos.</w:t>
      </w:r>
      <w:r w:rsidR="00930740" w:rsidRPr="00D87DD9">
        <w:rPr>
          <w:rFonts w:ascii="Times New Roman" w:hAnsi="Times New Roman" w:cs="Times New Roman"/>
          <w:b/>
          <w:sz w:val="20"/>
        </w:rPr>
        <w:br w:type="page"/>
      </w:r>
    </w:p>
    <w:p w14:paraId="2C3671F1" w14:textId="1BDCC8D7" w:rsidR="00930740"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lastRenderedPageBreak/>
        <w:t>Objeto</w:t>
      </w:r>
    </w:p>
    <w:p w14:paraId="78EF8E83"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p w14:paraId="7BA9E536" w14:textId="77777777" w:rsidR="00E11D79" w:rsidRPr="00D87DD9" w:rsidRDefault="00E11D79" w:rsidP="00930740">
      <w:pPr>
        <w:pStyle w:val="Texto"/>
        <w:spacing w:after="0" w:line="240" w:lineRule="auto"/>
        <w:ind w:firstLine="0"/>
        <w:rPr>
          <w:rFonts w:ascii="Times New Roman" w:hAnsi="Times New Roman" w:cs="Times New Roman"/>
          <w:b/>
          <w:sz w:val="20"/>
        </w:rPr>
      </w:pPr>
    </w:p>
    <w:p w14:paraId="193B2CEE" w14:textId="1FFE5905"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Ámbito de aplicación</w:t>
      </w:r>
    </w:p>
    <w:p w14:paraId="4C2844E6" w14:textId="77777777" w:rsidR="000F5C30" w:rsidRDefault="000F5C30" w:rsidP="00930740">
      <w:pPr>
        <w:pStyle w:val="Texto"/>
        <w:spacing w:after="0" w:line="240" w:lineRule="auto"/>
        <w:ind w:firstLine="0"/>
        <w:rPr>
          <w:rFonts w:ascii="Times New Roman" w:hAnsi="Times New Roman" w:cs="Times New Roman"/>
          <w:b/>
          <w:sz w:val="20"/>
        </w:rPr>
      </w:pPr>
    </w:p>
    <w:p w14:paraId="0E3776B6" w14:textId="609195AF"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p w14:paraId="41B0F60C" w14:textId="77777777" w:rsidR="000F5C30" w:rsidRDefault="000F5C30" w:rsidP="00930740">
      <w:pPr>
        <w:pStyle w:val="Texto"/>
        <w:spacing w:after="0" w:line="240" w:lineRule="auto"/>
        <w:ind w:firstLine="0"/>
        <w:rPr>
          <w:rFonts w:ascii="Times New Roman" w:hAnsi="Times New Roman" w:cs="Times New Roman"/>
          <w:b/>
          <w:sz w:val="20"/>
        </w:rPr>
      </w:pPr>
    </w:p>
    <w:p w14:paraId="00D1EC34" w14:textId="3FE7FBBA"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Clasificación Programática</w:t>
      </w:r>
    </w:p>
    <w:p w14:paraId="5EB6D46A" w14:textId="77777777" w:rsidR="000F5C30" w:rsidRDefault="000F5C30" w:rsidP="00930740">
      <w:pPr>
        <w:pStyle w:val="Texto"/>
        <w:spacing w:after="0" w:line="240" w:lineRule="auto"/>
        <w:ind w:firstLine="0"/>
        <w:rPr>
          <w:rFonts w:ascii="Times New Roman" w:hAnsi="Times New Roman" w:cs="Times New Roman"/>
          <w:sz w:val="20"/>
        </w:rPr>
      </w:pPr>
    </w:p>
    <w:p w14:paraId="105F3054" w14:textId="3CDBFE48"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La clasificación programática, se presenta a continuación:</w:t>
      </w:r>
    </w:p>
    <w:p w14:paraId="1DDB3094" w14:textId="77777777" w:rsidR="00E11D79" w:rsidRPr="00D87DD9" w:rsidRDefault="00E11D79" w:rsidP="00930740">
      <w:pPr>
        <w:pStyle w:val="Texto"/>
        <w:spacing w:after="0" w:line="240" w:lineRule="auto"/>
        <w:ind w:firstLine="0"/>
        <w:rPr>
          <w:rFonts w:ascii="Times New Roman" w:hAnsi="Times New Roman" w:cs="Times New Roman"/>
          <w:sz w:val="20"/>
        </w:rPr>
      </w:pPr>
    </w:p>
    <w:tbl>
      <w:tblPr>
        <w:tblW w:w="0" w:type="auto"/>
        <w:jc w:val="center"/>
        <w:tblLayout w:type="fixed"/>
        <w:tblCellMar>
          <w:left w:w="70" w:type="dxa"/>
          <w:right w:w="70" w:type="dxa"/>
        </w:tblCellMar>
        <w:tblLook w:val="0000" w:firstRow="0" w:lastRow="0" w:firstColumn="0" w:lastColumn="0" w:noHBand="0" w:noVBand="0"/>
      </w:tblPr>
      <w:tblGrid>
        <w:gridCol w:w="259"/>
        <w:gridCol w:w="242"/>
        <w:gridCol w:w="214"/>
        <w:gridCol w:w="1402"/>
        <w:gridCol w:w="7204"/>
        <w:gridCol w:w="407"/>
      </w:tblGrid>
      <w:tr w:rsidR="00CE611C" w:rsidRPr="00D87DD9" w14:paraId="58E4106A" w14:textId="77777777" w:rsidTr="00E14520">
        <w:trPr>
          <w:cantSplit/>
          <w:trHeight w:val="198"/>
          <w:jc w:val="center"/>
        </w:trPr>
        <w:tc>
          <w:tcPr>
            <w:tcW w:w="9321" w:type="dxa"/>
            <w:gridSpan w:val="5"/>
            <w:tcBorders>
              <w:top w:val="single" w:sz="6" w:space="0" w:color="auto"/>
              <w:bottom w:val="single" w:sz="6" w:space="0" w:color="auto"/>
            </w:tcBorders>
          </w:tcPr>
          <w:p w14:paraId="2ECDCB27"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Clasificación Programática</w:t>
            </w:r>
          </w:p>
        </w:tc>
        <w:tc>
          <w:tcPr>
            <w:tcW w:w="407" w:type="dxa"/>
            <w:tcBorders>
              <w:top w:val="single" w:sz="6" w:space="0" w:color="auto"/>
              <w:bottom w:val="single" w:sz="6" w:space="0" w:color="auto"/>
            </w:tcBorders>
          </w:tcPr>
          <w:p w14:paraId="27F764D5" w14:textId="77777777" w:rsidR="00CE611C" w:rsidRPr="00D87DD9" w:rsidRDefault="00CE611C" w:rsidP="00930740">
            <w:pPr>
              <w:pStyle w:val="Texto"/>
              <w:spacing w:after="0" w:line="240" w:lineRule="auto"/>
              <w:ind w:firstLine="0"/>
              <w:rPr>
                <w:rFonts w:ascii="Times New Roman" w:hAnsi="Times New Roman" w:cs="Times New Roman"/>
                <w:color w:val="000000"/>
                <w:sz w:val="20"/>
              </w:rPr>
            </w:pPr>
          </w:p>
        </w:tc>
      </w:tr>
      <w:tr w:rsidR="00CE611C" w:rsidRPr="00D87DD9" w14:paraId="0DD2E099" w14:textId="77777777" w:rsidTr="00E14520">
        <w:trPr>
          <w:cantSplit/>
          <w:trHeight w:val="198"/>
          <w:jc w:val="center"/>
        </w:trPr>
        <w:tc>
          <w:tcPr>
            <w:tcW w:w="259" w:type="dxa"/>
            <w:tcBorders>
              <w:top w:val="single" w:sz="6" w:space="0" w:color="auto"/>
            </w:tcBorders>
          </w:tcPr>
          <w:p w14:paraId="40568A3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Borders>
              <w:top w:val="single" w:sz="6" w:space="0" w:color="auto"/>
            </w:tcBorders>
          </w:tcPr>
          <w:p w14:paraId="530117BA"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819" w:type="dxa"/>
            <w:gridSpan w:val="3"/>
            <w:tcBorders>
              <w:top w:val="single" w:sz="6" w:space="0" w:color="auto"/>
            </w:tcBorders>
          </w:tcPr>
          <w:p w14:paraId="6BF819CD"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Programas presupuestarios</w:t>
            </w:r>
          </w:p>
        </w:tc>
        <w:tc>
          <w:tcPr>
            <w:tcW w:w="407" w:type="dxa"/>
            <w:tcBorders>
              <w:top w:val="single" w:sz="6" w:space="0" w:color="auto"/>
            </w:tcBorders>
          </w:tcPr>
          <w:p w14:paraId="2802C882" w14:textId="77777777" w:rsidR="00CE611C" w:rsidRPr="00D87DD9" w:rsidRDefault="00CE611C" w:rsidP="00930740">
            <w:pPr>
              <w:pStyle w:val="Texto"/>
              <w:spacing w:after="0" w:line="240" w:lineRule="auto"/>
              <w:ind w:firstLine="0"/>
              <w:rPr>
                <w:rFonts w:ascii="Times New Roman" w:hAnsi="Times New Roman" w:cs="Times New Roman"/>
                <w:sz w:val="20"/>
              </w:rPr>
            </w:pPr>
          </w:p>
        </w:tc>
      </w:tr>
      <w:tr w:rsidR="00CE611C" w:rsidRPr="00D87DD9" w14:paraId="495FA46A" w14:textId="77777777" w:rsidTr="00E14520">
        <w:trPr>
          <w:cantSplit/>
          <w:trHeight w:val="198"/>
          <w:jc w:val="center"/>
        </w:trPr>
        <w:tc>
          <w:tcPr>
            <w:tcW w:w="259" w:type="dxa"/>
          </w:tcPr>
          <w:p w14:paraId="6DFEF7FD"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697C9DC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6CBD67F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604" w:type="dxa"/>
            <w:gridSpan w:val="2"/>
          </w:tcPr>
          <w:p w14:paraId="3949F03B" w14:textId="77777777"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Subsidios: Sector Social y Privado o Entidades Federativas y Municipios</w:t>
            </w:r>
          </w:p>
        </w:tc>
        <w:tc>
          <w:tcPr>
            <w:tcW w:w="407" w:type="dxa"/>
          </w:tcPr>
          <w:p w14:paraId="6491D32F" w14:textId="77777777" w:rsidR="00CE611C" w:rsidRPr="00D87DD9" w:rsidRDefault="00CE611C" w:rsidP="00930740">
            <w:pPr>
              <w:pStyle w:val="Texto"/>
              <w:spacing w:after="0" w:line="240" w:lineRule="auto"/>
              <w:ind w:firstLine="0"/>
              <w:rPr>
                <w:rFonts w:ascii="Times New Roman" w:hAnsi="Times New Roman" w:cs="Times New Roman"/>
                <w:sz w:val="20"/>
              </w:rPr>
            </w:pPr>
          </w:p>
        </w:tc>
      </w:tr>
      <w:tr w:rsidR="00CE611C" w:rsidRPr="00D87DD9" w14:paraId="2AF9BF75" w14:textId="77777777" w:rsidTr="00E14520">
        <w:trPr>
          <w:cantSplit/>
          <w:trHeight w:val="198"/>
          <w:jc w:val="center"/>
        </w:trPr>
        <w:tc>
          <w:tcPr>
            <w:tcW w:w="259" w:type="dxa"/>
          </w:tcPr>
          <w:p w14:paraId="75335763"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4DAC6BD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6AB2397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5253C86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733BCB0A"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407" w:type="dxa"/>
          </w:tcPr>
          <w:p w14:paraId="57E9449A"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4F2D620A" w14:textId="77777777" w:rsidTr="00E14520">
        <w:trPr>
          <w:cantSplit/>
          <w:trHeight w:val="198"/>
          <w:jc w:val="center"/>
        </w:trPr>
        <w:tc>
          <w:tcPr>
            <w:tcW w:w="259" w:type="dxa"/>
          </w:tcPr>
          <w:p w14:paraId="4A32BA7A"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1728C565"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12297CD3"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604" w:type="dxa"/>
            <w:gridSpan w:val="2"/>
          </w:tcPr>
          <w:p w14:paraId="5CA668EB" w14:textId="77777777"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Bienes, Servicios e Infraestructura Pública</w:t>
            </w:r>
          </w:p>
        </w:tc>
        <w:tc>
          <w:tcPr>
            <w:tcW w:w="407" w:type="dxa"/>
          </w:tcPr>
          <w:p w14:paraId="7713D709" w14:textId="77777777" w:rsidR="00CE611C" w:rsidRPr="00D87DD9" w:rsidRDefault="00CE611C" w:rsidP="00930740">
            <w:pPr>
              <w:pStyle w:val="Texto"/>
              <w:spacing w:after="0" w:line="240" w:lineRule="auto"/>
              <w:ind w:firstLine="0"/>
              <w:rPr>
                <w:rFonts w:ascii="Times New Roman" w:hAnsi="Times New Roman" w:cs="Times New Roman"/>
                <w:sz w:val="20"/>
              </w:rPr>
            </w:pPr>
          </w:p>
        </w:tc>
      </w:tr>
      <w:tr w:rsidR="00CE611C" w:rsidRPr="00D87DD9" w14:paraId="5720A767" w14:textId="77777777" w:rsidTr="00E14520">
        <w:trPr>
          <w:cantSplit/>
          <w:trHeight w:val="198"/>
          <w:jc w:val="center"/>
        </w:trPr>
        <w:tc>
          <w:tcPr>
            <w:tcW w:w="259" w:type="dxa"/>
          </w:tcPr>
          <w:p w14:paraId="1B16F785"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5B2273A5"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53BB61F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56AA6FE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63943168"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407" w:type="dxa"/>
          </w:tcPr>
          <w:p w14:paraId="473854F9"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1DA8BF76" w14:textId="77777777" w:rsidTr="00E14520">
        <w:trPr>
          <w:cantSplit/>
          <w:trHeight w:val="198"/>
          <w:jc w:val="center"/>
        </w:trPr>
        <w:tc>
          <w:tcPr>
            <w:tcW w:w="259" w:type="dxa"/>
          </w:tcPr>
          <w:p w14:paraId="1AC2F72F"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4491749B"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1B33306F"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604" w:type="dxa"/>
            <w:gridSpan w:val="2"/>
          </w:tcPr>
          <w:p w14:paraId="15D5C8CD" w14:textId="77777777"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Desempeño de las Funciones de Gobierno</w:t>
            </w:r>
          </w:p>
        </w:tc>
        <w:tc>
          <w:tcPr>
            <w:tcW w:w="407" w:type="dxa"/>
          </w:tcPr>
          <w:p w14:paraId="458515F9" w14:textId="77777777" w:rsidR="00CE611C" w:rsidRPr="00D87DD9" w:rsidRDefault="00CE611C" w:rsidP="00930740">
            <w:pPr>
              <w:pStyle w:val="Texto"/>
              <w:spacing w:after="0" w:line="240" w:lineRule="auto"/>
              <w:ind w:firstLine="0"/>
              <w:rPr>
                <w:rFonts w:ascii="Times New Roman" w:hAnsi="Times New Roman" w:cs="Times New Roman"/>
                <w:sz w:val="20"/>
              </w:rPr>
            </w:pPr>
          </w:p>
        </w:tc>
      </w:tr>
      <w:tr w:rsidR="00CE611C" w:rsidRPr="00D87DD9" w14:paraId="64796C28" w14:textId="77777777" w:rsidTr="00E14520">
        <w:trPr>
          <w:cantSplit/>
          <w:trHeight w:val="198"/>
          <w:jc w:val="center"/>
        </w:trPr>
        <w:tc>
          <w:tcPr>
            <w:tcW w:w="259" w:type="dxa"/>
          </w:tcPr>
          <w:p w14:paraId="6DC5C8B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57B1ECD2"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5FD7141F"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592BCF50"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00BD190B"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407" w:type="dxa"/>
          </w:tcPr>
          <w:p w14:paraId="71765A77"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627A0271" w14:textId="77777777" w:rsidTr="00E14520">
        <w:trPr>
          <w:cantSplit/>
          <w:trHeight w:val="198"/>
          <w:jc w:val="center"/>
        </w:trPr>
        <w:tc>
          <w:tcPr>
            <w:tcW w:w="259" w:type="dxa"/>
          </w:tcPr>
          <w:p w14:paraId="213739B0"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5EACD1C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26F8AC0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2CEBDE6F"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6FC11F03"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Funciones para la gobernanza institucional</w:t>
            </w:r>
          </w:p>
        </w:tc>
        <w:tc>
          <w:tcPr>
            <w:tcW w:w="407" w:type="dxa"/>
          </w:tcPr>
          <w:p w14:paraId="5ECFBC5C"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X</w:t>
            </w:r>
          </w:p>
        </w:tc>
      </w:tr>
      <w:tr w:rsidR="00CE611C" w:rsidRPr="00D87DD9" w14:paraId="25FD4D89" w14:textId="77777777" w:rsidTr="00E14520">
        <w:trPr>
          <w:cantSplit/>
          <w:trHeight w:val="198"/>
          <w:jc w:val="center"/>
        </w:trPr>
        <w:tc>
          <w:tcPr>
            <w:tcW w:w="259" w:type="dxa"/>
          </w:tcPr>
          <w:p w14:paraId="7DBC8DE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459CC37D"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2A0473E5"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604" w:type="dxa"/>
            <w:gridSpan w:val="2"/>
          </w:tcPr>
          <w:p w14:paraId="07DED7BC" w14:textId="77777777"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 xml:space="preserve">Administrativos y de Apoyo a la Gestión Presupuestaria </w:t>
            </w:r>
          </w:p>
        </w:tc>
        <w:tc>
          <w:tcPr>
            <w:tcW w:w="407" w:type="dxa"/>
          </w:tcPr>
          <w:p w14:paraId="0B06FBFA" w14:textId="77777777" w:rsidR="00CE611C" w:rsidRPr="00D87DD9" w:rsidRDefault="00CE611C" w:rsidP="00930740">
            <w:pPr>
              <w:pStyle w:val="Texto"/>
              <w:spacing w:after="0" w:line="240" w:lineRule="auto"/>
              <w:ind w:firstLine="0"/>
              <w:rPr>
                <w:rFonts w:ascii="Times New Roman" w:hAnsi="Times New Roman" w:cs="Times New Roman"/>
                <w:b/>
                <w:sz w:val="20"/>
              </w:rPr>
            </w:pPr>
          </w:p>
        </w:tc>
      </w:tr>
      <w:tr w:rsidR="00CE611C" w:rsidRPr="00D87DD9" w14:paraId="29F04EA5" w14:textId="77777777" w:rsidTr="00E14520">
        <w:trPr>
          <w:cantSplit/>
          <w:trHeight w:val="198"/>
          <w:jc w:val="center"/>
        </w:trPr>
        <w:tc>
          <w:tcPr>
            <w:tcW w:w="259" w:type="dxa"/>
          </w:tcPr>
          <w:p w14:paraId="01943E9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2F31D4B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25BA2A41"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71F3C050"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2F25A434"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407" w:type="dxa"/>
          </w:tcPr>
          <w:p w14:paraId="521926BF"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0EC268A3" w14:textId="77777777" w:rsidTr="00E14520">
        <w:trPr>
          <w:cantSplit/>
          <w:trHeight w:val="198"/>
          <w:jc w:val="center"/>
        </w:trPr>
        <w:tc>
          <w:tcPr>
            <w:tcW w:w="259" w:type="dxa"/>
          </w:tcPr>
          <w:p w14:paraId="0305E0F1"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13933E9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12D4F3D0"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8604" w:type="dxa"/>
            <w:gridSpan w:val="2"/>
          </w:tcPr>
          <w:p w14:paraId="0E9A2B96" w14:textId="77777777" w:rsidR="00CE611C"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Compromisos, Cumplimiento de Obligaciones y otras Aportaciones</w:t>
            </w:r>
          </w:p>
        </w:tc>
        <w:tc>
          <w:tcPr>
            <w:tcW w:w="407" w:type="dxa"/>
          </w:tcPr>
          <w:p w14:paraId="4B86D5BC" w14:textId="77777777" w:rsidR="00CE611C" w:rsidRPr="00D87DD9" w:rsidRDefault="00CE611C" w:rsidP="00930740">
            <w:pPr>
              <w:pStyle w:val="Texto"/>
              <w:spacing w:after="0" w:line="240" w:lineRule="auto"/>
              <w:ind w:firstLine="0"/>
              <w:rPr>
                <w:rFonts w:ascii="Times New Roman" w:hAnsi="Times New Roman" w:cs="Times New Roman"/>
                <w:sz w:val="20"/>
              </w:rPr>
            </w:pPr>
          </w:p>
        </w:tc>
      </w:tr>
      <w:tr w:rsidR="00CE611C" w:rsidRPr="00D87DD9" w14:paraId="176FF2D1" w14:textId="77777777" w:rsidTr="00E14520">
        <w:trPr>
          <w:cantSplit/>
          <w:trHeight w:val="198"/>
          <w:jc w:val="center"/>
        </w:trPr>
        <w:tc>
          <w:tcPr>
            <w:tcW w:w="259" w:type="dxa"/>
          </w:tcPr>
          <w:p w14:paraId="5334F8CD"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42" w:type="dxa"/>
          </w:tcPr>
          <w:p w14:paraId="3239A42B"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214" w:type="dxa"/>
          </w:tcPr>
          <w:p w14:paraId="685BDB5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402" w:type="dxa"/>
          </w:tcPr>
          <w:p w14:paraId="26FA6AA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7202" w:type="dxa"/>
          </w:tcPr>
          <w:p w14:paraId="6FDA5E88"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407" w:type="dxa"/>
          </w:tcPr>
          <w:p w14:paraId="27698DC1"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bl>
    <w:p w14:paraId="372F2F04" w14:textId="77777777" w:rsidR="00E11D79" w:rsidRPr="00D87DD9" w:rsidRDefault="00E11D79" w:rsidP="00930740">
      <w:pPr>
        <w:pStyle w:val="Texto"/>
        <w:spacing w:after="0" w:line="240" w:lineRule="auto"/>
        <w:ind w:firstLine="0"/>
        <w:rPr>
          <w:rFonts w:ascii="Times New Roman" w:hAnsi="Times New Roman" w:cs="Times New Roman"/>
          <w:sz w:val="20"/>
        </w:rPr>
      </w:pPr>
    </w:p>
    <w:p w14:paraId="624CD6DB" w14:textId="77777777" w:rsidR="00E11D79"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En anexo se presenta las características generales de la clasificación programática.</w:t>
      </w:r>
    </w:p>
    <w:p w14:paraId="3F3D6894" w14:textId="77777777" w:rsidR="000F5C30" w:rsidRDefault="000F5C30" w:rsidP="00930740">
      <w:pPr>
        <w:pStyle w:val="Texto"/>
        <w:spacing w:after="0" w:line="240" w:lineRule="auto"/>
        <w:ind w:firstLine="0"/>
        <w:rPr>
          <w:rFonts w:ascii="Times New Roman" w:hAnsi="Times New Roman" w:cs="Times New Roman"/>
          <w:b/>
          <w:sz w:val="20"/>
        </w:rPr>
      </w:pPr>
    </w:p>
    <w:p w14:paraId="27C9088F" w14:textId="26FFD28E" w:rsidR="00E11D7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Anexo</w:t>
      </w:r>
    </w:p>
    <w:p w14:paraId="3E3CA69C" w14:textId="77777777" w:rsidR="000F5C30" w:rsidRPr="00D87DD9" w:rsidRDefault="000F5C30" w:rsidP="00930740">
      <w:pPr>
        <w:pStyle w:val="Texto"/>
        <w:spacing w:after="0" w:line="240" w:lineRule="auto"/>
        <w:ind w:firstLine="0"/>
        <w:rPr>
          <w:rFonts w:ascii="Times New Roman" w:hAnsi="Times New Roman" w:cs="Times New Roman"/>
          <w:sz w:val="20"/>
        </w:rPr>
      </w:pPr>
    </w:p>
    <w:tbl>
      <w:tblPr>
        <w:tblW w:w="5000" w:type="pct"/>
        <w:tblLayout w:type="fixed"/>
        <w:tblCellMar>
          <w:left w:w="72" w:type="dxa"/>
          <w:right w:w="72" w:type="dxa"/>
        </w:tblCellMar>
        <w:tblLook w:val="0000" w:firstRow="0" w:lastRow="0" w:firstColumn="0" w:lastColumn="0" w:noHBand="0" w:noVBand="0"/>
      </w:tblPr>
      <w:tblGrid>
        <w:gridCol w:w="220"/>
        <w:gridCol w:w="206"/>
        <w:gridCol w:w="183"/>
        <w:gridCol w:w="205"/>
        <w:gridCol w:w="3448"/>
        <w:gridCol w:w="475"/>
        <w:gridCol w:w="5235"/>
      </w:tblGrid>
      <w:tr w:rsidR="00CE611C" w:rsidRPr="00D87DD9" w14:paraId="3C67D60D" w14:textId="77777777" w:rsidTr="00930740">
        <w:trPr>
          <w:trHeight w:val="198"/>
        </w:trPr>
        <w:tc>
          <w:tcPr>
            <w:tcW w:w="5000" w:type="pct"/>
            <w:gridSpan w:val="7"/>
            <w:tcBorders>
              <w:top w:val="single" w:sz="6" w:space="0" w:color="auto"/>
              <w:bottom w:val="single" w:sz="6" w:space="0" w:color="auto"/>
            </w:tcBorders>
            <w:noWrap/>
          </w:tcPr>
          <w:p w14:paraId="590F561F"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sz w:val="20"/>
              </w:rPr>
              <w:t>Clasificación Programática</w:t>
            </w:r>
          </w:p>
        </w:tc>
      </w:tr>
      <w:tr w:rsidR="00CE611C" w:rsidRPr="00D87DD9" w14:paraId="6D990C8A" w14:textId="77777777" w:rsidTr="00930740">
        <w:trPr>
          <w:trHeight w:val="198"/>
        </w:trPr>
        <w:tc>
          <w:tcPr>
            <w:tcW w:w="2137" w:type="pct"/>
            <w:gridSpan w:val="5"/>
            <w:tcBorders>
              <w:top w:val="single" w:sz="6" w:space="0" w:color="auto"/>
              <w:bottom w:val="single" w:sz="6" w:space="0" w:color="auto"/>
            </w:tcBorders>
          </w:tcPr>
          <w:p w14:paraId="768B950C"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sz w:val="20"/>
              </w:rPr>
              <w:t>Programas Presupuestarios</w:t>
            </w:r>
          </w:p>
        </w:tc>
        <w:tc>
          <w:tcPr>
            <w:tcW w:w="238" w:type="pct"/>
            <w:tcBorders>
              <w:top w:val="single" w:sz="6" w:space="0" w:color="auto"/>
              <w:bottom w:val="single" w:sz="6" w:space="0" w:color="auto"/>
            </w:tcBorders>
          </w:tcPr>
          <w:p w14:paraId="63E1F5E0"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p>
        </w:tc>
        <w:tc>
          <w:tcPr>
            <w:tcW w:w="2625" w:type="pct"/>
            <w:tcBorders>
              <w:top w:val="single" w:sz="6" w:space="0" w:color="auto"/>
              <w:bottom w:val="single" w:sz="6" w:space="0" w:color="auto"/>
            </w:tcBorders>
          </w:tcPr>
          <w:p w14:paraId="6EA290C7"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sz w:val="20"/>
              </w:rPr>
              <w:t>Características Generales</w:t>
            </w:r>
          </w:p>
        </w:tc>
      </w:tr>
      <w:tr w:rsidR="00CE611C" w:rsidRPr="00D87DD9" w14:paraId="72B7F370" w14:textId="77777777" w:rsidTr="00930740">
        <w:trPr>
          <w:trHeight w:val="198"/>
        </w:trPr>
        <w:tc>
          <w:tcPr>
            <w:tcW w:w="5000" w:type="pct"/>
            <w:gridSpan w:val="7"/>
            <w:tcBorders>
              <w:top w:val="single" w:sz="6" w:space="0" w:color="auto"/>
            </w:tcBorders>
          </w:tcPr>
          <w:p w14:paraId="2382F9DA"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Subsidios: Sector Social y Privado o Entidades Federativas y Municipios</w:t>
            </w:r>
          </w:p>
        </w:tc>
      </w:tr>
      <w:tr w:rsidR="00CE611C" w:rsidRPr="00D87DD9" w14:paraId="6ACB5A55" w14:textId="77777777" w:rsidTr="00930740">
        <w:trPr>
          <w:trHeight w:val="198"/>
        </w:trPr>
        <w:tc>
          <w:tcPr>
            <w:tcW w:w="110" w:type="pct"/>
          </w:tcPr>
          <w:p w14:paraId="16030853"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0D631CB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2E5153AD"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0103DA5C"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tcPr>
          <w:p w14:paraId="0BDCABFB"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38" w:type="pct"/>
          </w:tcPr>
          <w:p w14:paraId="2BBE6446"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625" w:type="pct"/>
          </w:tcPr>
          <w:p w14:paraId="4219973A"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621E1DCB" w14:textId="77777777" w:rsidTr="00930740">
        <w:trPr>
          <w:trHeight w:val="198"/>
        </w:trPr>
        <w:tc>
          <w:tcPr>
            <w:tcW w:w="5000" w:type="pct"/>
            <w:gridSpan w:val="7"/>
          </w:tcPr>
          <w:p w14:paraId="16555156"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Bienes, Servicios e Infraestructura Pública</w:t>
            </w:r>
          </w:p>
        </w:tc>
      </w:tr>
      <w:tr w:rsidR="00CE611C" w:rsidRPr="00D87DD9" w14:paraId="274EBCCB" w14:textId="77777777" w:rsidTr="00930740">
        <w:trPr>
          <w:trHeight w:val="198"/>
        </w:trPr>
        <w:tc>
          <w:tcPr>
            <w:tcW w:w="110" w:type="pct"/>
          </w:tcPr>
          <w:p w14:paraId="3869CE83"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4E24424B"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601014C1"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63F92453"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tcPr>
          <w:p w14:paraId="67F379CA"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38" w:type="pct"/>
          </w:tcPr>
          <w:p w14:paraId="02941AF8"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b/>
                <w:sz w:val="20"/>
              </w:rPr>
              <w:t>…</w:t>
            </w:r>
          </w:p>
        </w:tc>
        <w:tc>
          <w:tcPr>
            <w:tcW w:w="2625" w:type="pct"/>
          </w:tcPr>
          <w:p w14:paraId="06DB54BE"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1EEA25AB" w14:textId="77777777" w:rsidTr="00930740">
        <w:trPr>
          <w:trHeight w:val="198"/>
        </w:trPr>
        <w:tc>
          <w:tcPr>
            <w:tcW w:w="110" w:type="pct"/>
          </w:tcPr>
          <w:p w14:paraId="12AD71F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22F993C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5BA69A8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2183512D"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tcPr>
          <w:p w14:paraId="45CDED96"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Prestación de Servicios Públicos</w:t>
            </w:r>
          </w:p>
        </w:tc>
        <w:tc>
          <w:tcPr>
            <w:tcW w:w="238" w:type="pct"/>
          </w:tcPr>
          <w:p w14:paraId="08205CDA"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sz w:val="20"/>
              </w:rPr>
              <w:t>E</w:t>
            </w:r>
          </w:p>
        </w:tc>
        <w:tc>
          <w:tcPr>
            <w:tcW w:w="2625" w:type="pct"/>
          </w:tcPr>
          <w:p w14:paraId="5C96C400" w14:textId="1B4A8A65"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Considera actividades que realiza el sector público de forma regular y continua, mediante las cuales se proporcionan servicios que son recibidos de manera directa por la población, para satisfacer demandas y necesidades colectivas, así como el acceso a servicios públicos en garantía a sus derechos fundamentales. Entre otras intervenciones con estas características, de forma enunciativa más no limitativa de los casos particulares que existan en los tres órdenes de gobierno, se encuentran la prestación de servicios educativos, recreativos, deportivos, culturales; protección y atención a la salud; asistencia social; transporte público; legales, trámites y servicios básicos; y seguridad pública y ciudadana, exceptuando la administración del sistema penitenciario e inteligencia en materia de seguridad.</w:t>
            </w:r>
          </w:p>
        </w:tc>
      </w:tr>
      <w:tr w:rsidR="00CE611C" w:rsidRPr="00D87DD9" w14:paraId="770F5458" w14:textId="77777777" w:rsidTr="00930740">
        <w:trPr>
          <w:trHeight w:val="198"/>
        </w:trPr>
        <w:tc>
          <w:tcPr>
            <w:tcW w:w="110" w:type="pct"/>
          </w:tcPr>
          <w:p w14:paraId="17B3D9A8"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69B1AEE9"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60901947"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1326A392"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tcPr>
          <w:p w14:paraId="4C5DC54C"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38" w:type="pct"/>
          </w:tcPr>
          <w:p w14:paraId="4466C35C"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b/>
                <w:sz w:val="20"/>
              </w:rPr>
              <w:t>…</w:t>
            </w:r>
          </w:p>
        </w:tc>
        <w:tc>
          <w:tcPr>
            <w:tcW w:w="2625" w:type="pct"/>
          </w:tcPr>
          <w:p w14:paraId="35617697"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50369CF9" w14:textId="77777777" w:rsidTr="00930740">
        <w:trPr>
          <w:trHeight w:val="198"/>
        </w:trPr>
        <w:tc>
          <w:tcPr>
            <w:tcW w:w="5000" w:type="pct"/>
            <w:gridSpan w:val="7"/>
          </w:tcPr>
          <w:p w14:paraId="2223BDD7"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Desempeño de las Funciones de Gobierno</w:t>
            </w:r>
          </w:p>
        </w:tc>
      </w:tr>
      <w:tr w:rsidR="00CE611C" w:rsidRPr="00D87DD9" w14:paraId="4C79C7B1" w14:textId="77777777" w:rsidTr="00930740">
        <w:trPr>
          <w:trHeight w:val="198"/>
        </w:trPr>
        <w:tc>
          <w:tcPr>
            <w:tcW w:w="110" w:type="pct"/>
          </w:tcPr>
          <w:p w14:paraId="5A30DB51"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1F5A8A9E"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6F84A138"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4E29C8AB"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tcPr>
          <w:p w14:paraId="3404348B" w14:textId="33114F76" w:rsidR="00930740" w:rsidRPr="00D87DD9" w:rsidRDefault="00CE611C" w:rsidP="00930740">
            <w:pPr>
              <w:pStyle w:val="Texto"/>
              <w:spacing w:after="0" w:line="240" w:lineRule="auto"/>
              <w:ind w:firstLine="0"/>
              <w:rPr>
                <w:rFonts w:ascii="Times New Roman" w:hAnsi="Times New Roman" w:cs="Times New Roman"/>
                <w:b/>
                <w:sz w:val="20"/>
              </w:rPr>
            </w:pPr>
            <w:r w:rsidRPr="00D87DD9">
              <w:rPr>
                <w:rFonts w:ascii="Times New Roman" w:hAnsi="Times New Roman" w:cs="Times New Roman"/>
                <w:b/>
                <w:sz w:val="20"/>
              </w:rPr>
              <w:t>…</w:t>
            </w:r>
          </w:p>
        </w:tc>
        <w:tc>
          <w:tcPr>
            <w:tcW w:w="238" w:type="pct"/>
          </w:tcPr>
          <w:p w14:paraId="20608BF8"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b/>
                <w:sz w:val="20"/>
              </w:rPr>
              <w:t>…</w:t>
            </w:r>
          </w:p>
        </w:tc>
        <w:tc>
          <w:tcPr>
            <w:tcW w:w="2625" w:type="pct"/>
          </w:tcPr>
          <w:p w14:paraId="32E669E8"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bl>
    <w:p w14:paraId="57F1E5AA" w14:textId="77777777" w:rsidR="000F5C30" w:rsidRDefault="000F5C30">
      <w:r>
        <w:br w:type="page"/>
      </w:r>
    </w:p>
    <w:tbl>
      <w:tblPr>
        <w:tblW w:w="5000" w:type="pct"/>
        <w:tblLayout w:type="fixed"/>
        <w:tblCellMar>
          <w:left w:w="72" w:type="dxa"/>
          <w:right w:w="72" w:type="dxa"/>
        </w:tblCellMar>
        <w:tblLook w:val="0000" w:firstRow="0" w:lastRow="0" w:firstColumn="0" w:lastColumn="0" w:noHBand="0" w:noVBand="0"/>
      </w:tblPr>
      <w:tblGrid>
        <w:gridCol w:w="220"/>
        <w:gridCol w:w="206"/>
        <w:gridCol w:w="183"/>
        <w:gridCol w:w="205"/>
        <w:gridCol w:w="3430"/>
        <w:gridCol w:w="18"/>
        <w:gridCol w:w="443"/>
        <w:gridCol w:w="32"/>
        <w:gridCol w:w="5235"/>
      </w:tblGrid>
      <w:tr w:rsidR="00CE611C" w:rsidRPr="00D87DD9" w14:paraId="273D544B" w14:textId="77777777" w:rsidTr="00930740">
        <w:trPr>
          <w:trHeight w:val="198"/>
        </w:trPr>
        <w:tc>
          <w:tcPr>
            <w:tcW w:w="110" w:type="pct"/>
          </w:tcPr>
          <w:p w14:paraId="76EEA60B" w14:textId="37D09506"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3C64DE8B"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04BA5FBA"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7CF72541"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9" w:type="pct"/>
            <w:gridSpan w:val="2"/>
          </w:tcPr>
          <w:p w14:paraId="305D21C8"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Funciones para la gobernanza institucional</w:t>
            </w:r>
          </w:p>
        </w:tc>
        <w:tc>
          <w:tcPr>
            <w:tcW w:w="238" w:type="pct"/>
            <w:gridSpan w:val="2"/>
          </w:tcPr>
          <w:p w14:paraId="7FE5B02C"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sz w:val="20"/>
              </w:rPr>
              <w:t>X</w:t>
            </w:r>
          </w:p>
        </w:tc>
        <w:tc>
          <w:tcPr>
            <w:tcW w:w="2625" w:type="pct"/>
          </w:tcPr>
          <w:p w14:paraId="29A482DE"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sz w:val="20"/>
              </w:rPr>
              <w:t>Considera actividades orientadas al cumplimiento de las responsabilidades sustantivas del Estado en los tres órdenes de gobierno, cuya implementación deriva en acciones dirigidas a otras instituciones públicas o en acciones que involucren corresponsabilidades entre el gobierno y la población, pero sin atender de manera directa demandas o necesidades específicas de la sociedad. Esta modalidad agrupa intervenciones que contribuyen al fortalecimiento de la gobernanza institucional, sin tratarse de procesos o actividades de tipo administrativo. De forma enunciativa más no limitativa de los casos particulares que existan en los tres órdenes de gobierno, se identifican funciones aduaneras; de recaudación tributaria; catastro; funciones registrales; control vehicular; regulación de mercados y panteones; preservación del patrimonio documental, histórico y cultural; gestión de expropiaciones; actividades asociadas al ciclo de producción de energía eléctrica y petróleo, así como servicios auxiliares inherentes al desarrollo de éstos; administración del sistema penitenciario; inteligencia en materia de seguridad y otras funciones de gobierno con estas características.</w:t>
            </w:r>
          </w:p>
        </w:tc>
      </w:tr>
      <w:tr w:rsidR="00CE611C" w:rsidRPr="00D87DD9" w14:paraId="462F2624" w14:textId="77777777" w:rsidTr="00930740">
        <w:trPr>
          <w:trHeight w:val="198"/>
        </w:trPr>
        <w:tc>
          <w:tcPr>
            <w:tcW w:w="5000" w:type="pct"/>
            <w:gridSpan w:val="9"/>
          </w:tcPr>
          <w:p w14:paraId="76D78C52" w14:textId="0011B394"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Administrativos y de Apoyo a la Gestión Presupuestaria</w:t>
            </w:r>
          </w:p>
        </w:tc>
      </w:tr>
      <w:tr w:rsidR="00CE611C" w:rsidRPr="00D87DD9" w14:paraId="5378490E" w14:textId="77777777" w:rsidTr="00930740">
        <w:trPr>
          <w:trHeight w:val="198"/>
        </w:trPr>
        <w:tc>
          <w:tcPr>
            <w:tcW w:w="110" w:type="pct"/>
          </w:tcPr>
          <w:p w14:paraId="19D712C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6AF79AF4"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380073DC"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04698416"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0" w:type="pct"/>
          </w:tcPr>
          <w:p w14:paraId="5EFCE634"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31" w:type="pct"/>
            <w:gridSpan w:val="2"/>
          </w:tcPr>
          <w:p w14:paraId="27184B28"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b/>
                <w:sz w:val="20"/>
              </w:rPr>
              <w:t>…</w:t>
            </w:r>
          </w:p>
        </w:tc>
        <w:tc>
          <w:tcPr>
            <w:tcW w:w="2641" w:type="pct"/>
            <w:gridSpan w:val="2"/>
          </w:tcPr>
          <w:p w14:paraId="6A081771"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r w:rsidR="00CE611C" w:rsidRPr="00D87DD9" w14:paraId="753138A8" w14:textId="77777777" w:rsidTr="00930740">
        <w:trPr>
          <w:trHeight w:val="198"/>
        </w:trPr>
        <w:tc>
          <w:tcPr>
            <w:tcW w:w="5000" w:type="pct"/>
            <w:gridSpan w:val="9"/>
          </w:tcPr>
          <w:p w14:paraId="4897735B"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Compromisos, Cumplimiento de Obligaciones y otras Aportaciones</w:t>
            </w:r>
          </w:p>
        </w:tc>
      </w:tr>
      <w:tr w:rsidR="00CE611C" w:rsidRPr="00D87DD9" w14:paraId="30D6C5B6" w14:textId="77777777" w:rsidTr="00930740">
        <w:trPr>
          <w:trHeight w:val="198"/>
        </w:trPr>
        <w:tc>
          <w:tcPr>
            <w:tcW w:w="110" w:type="pct"/>
          </w:tcPr>
          <w:p w14:paraId="7C57739F"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41FB9EDC"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92" w:type="pct"/>
          </w:tcPr>
          <w:p w14:paraId="6D0A40C0"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03" w:type="pct"/>
          </w:tcPr>
          <w:p w14:paraId="3D62F5FE" w14:textId="77777777" w:rsidR="00CE611C" w:rsidRPr="00D87DD9" w:rsidRDefault="00CE611C" w:rsidP="00930740">
            <w:pPr>
              <w:pStyle w:val="Texto"/>
              <w:spacing w:after="0" w:line="240" w:lineRule="auto"/>
              <w:ind w:firstLine="0"/>
              <w:rPr>
                <w:rFonts w:ascii="Times New Roman" w:hAnsi="Times New Roman" w:cs="Times New Roman"/>
                <w:sz w:val="20"/>
              </w:rPr>
            </w:pPr>
          </w:p>
        </w:tc>
        <w:tc>
          <w:tcPr>
            <w:tcW w:w="1720" w:type="pct"/>
          </w:tcPr>
          <w:p w14:paraId="1883EF03"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c>
          <w:tcPr>
            <w:tcW w:w="231" w:type="pct"/>
            <w:gridSpan w:val="2"/>
          </w:tcPr>
          <w:p w14:paraId="1875027C" w14:textId="77777777" w:rsidR="00CE611C" w:rsidRPr="00D87DD9" w:rsidRDefault="00CE611C" w:rsidP="00930740">
            <w:pPr>
              <w:pStyle w:val="Texto"/>
              <w:spacing w:after="0" w:line="240" w:lineRule="auto"/>
              <w:ind w:firstLine="0"/>
              <w:jc w:val="center"/>
              <w:rPr>
                <w:rFonts w:ascii="Times New Roman" w:hAnsi="Times New Roman" w:cs="Times New Roman"/>
                <w:sz w:val="20"/>
              </w:rPr>
            </w:pPr>
            <w:r w:rsidRPr="00D87DD9">
              <w:rPr>
                <w:rFonts w:ascii="Times New Roman" w:hAnsi="Times New Roman" w:cs="Times New Roman"/>
                <w:b/>
                <w:sz w:val="20"/>
              </w:rPr>
              <w:t>…</w:t>
            </w:r>
          </w:p>
        </w:tc>
        <w:tc>
          <w:tcPr>
            <w:tcW w:w="2641" w:type="pct"/>
            <w:gridSpan w:val="2"/>
          </w:tcPr>
          <w:p w14:paraId="5BED11F5" w14:textId="77777777" w:rsidR="00CE611C" w:rsidRPr="00D87DD9" w:rsidRDefault="00CE611C" w:rsidP="00930740">
            <w:pPr>
              <w:pStyle w:val="Texto"/>
              <w:spacing w:after="0" w:line="240" w:lineRule="auto"/>
              <w:ind w:firstLine="0"/>
              <w:rPr>
                <w:rFonts w:ascii="Times New Roman" w:hAnsi="Times New Roman" w:cs="Times New Roman"/>
                <w:sz w:val="20"/>
              </w:rPr>
            </w:pPr>
            <w:r w:rsidRPr="00D87DD9">
              <w:rPr>
                <w:rFonts w:ascii="Times New Roman" w:hAnsi="Times New Roman" w:cs="Times New Roman"/>
                <w:b/>
                <w:sz w:val="20"/>
              </w:rPr>
              <w:t>…</w:t>
            </w:r>
          </w:p>
        </w:tc>
      </w:tr>
    </w:tbl>
    <w:p w14:paraId="3A6BAB90" w14:textId="77777777" w:rsidR="00CE611C" w:rsidRPr="00D87DD9" w:rsidRDefault="00CE611C" w:rsidP="00930740">
      <w:pPr>
        <w:pStyle w:val="Texto"/>
        <w:spacing w:after="0" w:line="240" w:lineRule="auto"/>
        <w:ind w:firstLine="0"/>
        <w:rPr>
          <w:rFonts w:ascii="Times New Roman" w:hAnsi="Times New Roman" w:cs="Times New Roman"/>
          <w:sz w:val="20"/>
        </w:rPr>
      </w:pPr>
    </w:p>
    <w:p w14:paraId="420C872F" w14:textId="1B3BD631" w:rsidR="005745E4" w:rsidRPr="00D87DD9" w:rsidRDefault="005745E4" w:rsidP="00930740">
      <w:pPr>
        <w:pStyle w:val="ANOTACION"/>
        <w:spacing w:before="0" w:after="0" w:line="240" w:lineRule="auto"/>
        <w:rPr>
          <w:sz w:val="20"/>
        </w:rPr>
      </w:pPr>
      <w:r w:rsidRPr="00D87DD9">
        <w:rPr>
          <w:sz w:val="20"/>
        </w:rPr>
        <w:t>TRANSITORIOS</w:t>
      </w:r>
    </w:p>
    <w:p w14:paraId="6194E260" w14:textId="77777777" w:rsidR="00957F03" w:rsidRPr="00D87DD9" w:rsidRDefault="00957F03" w:rsidP="00930740">
      <w:pPr>
        <w:pStyle w:val="ANOTACION"/>
        <w:spacing w:before="0" w:after="0" w:line="240" w:lineRule="auto"/>
        <w:jc w:val="both"/>
        <w:rPr>
          <w:sz w:val="20"/>
        </w:rPr>
      </w:pPr>
    </w:p>
    <w:p w14:paraId="08082B71" w14:textId="77777777" w:rsidR="00CE611C" w:rsidRPr="00D87DD9" w:rsidRDefault="00CE611C" w:rsidP="00930740">
      <w:pPr>
        <w:spacing w:after="0" w:line="240" w:lineRule="auto"/>
        <w:jc w:val="both"/>
        <w:rPr>
          <w:rFonts w:ascii="Times New Roman" w:eastAsia="Times New Roman" w:hAnsi="Times New Roman" w:cs="Times New Roman"/>
          <w:bCs/>
          <w:sz w:val="20"/>
          <w:szCs w:val="20"/>
          <w:lang w:val="es-ES" w:eastAsia="es-ES"/>
        </w:rPr>
      </w:pPr>
      <w:r w:rsidRPr="00D87DD9">
        <w:rPr>
          <w:rFonts w:ascii="Times New Roman" w:eastAsia="Times New Roman" w:hAnsi="Times New Roman" w:cs="Times New Roman"/>
          <w:b/>
          <w:sz w:val="20"/>
          <w:szCs w:val="20"/>
          <w:lang w:val="es-ES" w:eastAsia="es-ES"/>
        </w:rPr>
        <w:t>PRIMERO.-</w:t>
      </w:r>
      <w:r w:rsidRPr="00D87DD9">
        <w:rPr>
          <w:rFonts w:ascii="Times New Roman" w:eastAsia="Times New Roman" w:hAnsi="Times New Roman" w:cs="Times New Roman"/>
          <w:bCs/>
          <w:sz w:val="20"/>
          <w:szCs w:val="20"/>
          <w:lang w:val="es-ES" w:eastAsia="es-ES"/>
        </w:rPr>
        <w:t xml:space="preserve"> El presente Clasificador entrará en vigor al día siguiente al de su publicación  en el Diario Oficial de la Federación y será utilizado a partir de la elaboración del Proyecto de Presupuesto de Egresos de 2027.</w:t>
      </w:r>
    </w:p>
    <w:p w14:paraId="3F58FAE6" w14:textId="77777777" w:rsidR="0067103D" w:rsidRPr="00D87DD9" w:rsidRDefault="0067103D" w:rsidP="00930740">
      <w:pPr>
        <w:spacing w:after="0" w:line="240" w:lineRule="auto"/>
        <w:jc w:val="both"/>
        <w:rPr>
          <w:rFonts w:ascii="Times New Roman" w:eastAsia="Times New Roman" w:hAnsi="Times New Roman" w:cs="Times New Roman"/>
          <w:bCs/>
          <w:sz w:val="20"/>
          <w:szCs w:val="20"/>
          <w:lang w:val="es-ES" w:eastAsia="es-ES"/>
        </w:rPr>
      </w:pPr>
    </w:p>
    <w:p w14:paraId="3C77517D" w14:textId="77777777" w:rsidR="00CE611C" w:rsidRPr="00D87DD9" w:rsidRDefault="00CE611C" w:rsidP="00930740">
      <w:pPr>
        <w:spacing w:after="0" w:line="240" w:lineRule="auto"/>
        <w:jc w:val="both"/>
        <w:rPr>
          <w:rFonts w:ascii="Times New Roman" w:eastAsia="Times New Roman" w:hAnsi="Times New Roman" w:cs="Times New Roman"/>
          <w:bCs/>
          <w:sz w:val="20"/>
          <w:szCs w:val="20"/>
          <w:lang w:val="es-ES" w:eastAsia="es-ES"/>
        </w:rPr>
      </w:pPr>
      <w:r w:rsidRPr="00D87DD9">
        <w:rPr>
          <w:rFonts w:ascii="Times New Roman" w:eastAsia="Times New Roman" w:hAnsi="Times New Roman" w:cs="Times New Roman"/>
          <w:bCs/>
          <w:sz w:val="20"/>
          <w:szCs w:val="20"/>
          <w:lang w:val="es-ES" w:eastAsia="es-ES"/>
        </w:rPr>
        <w:t>La información Programática se presentará conforme fue autorizada en el Presupuesto de Egresos del ejercicio fiscal que corresponda.</w:t>
      </w:r>
    </w:p>
    <w:p w14:paraId="384E8C83" w14:textId="77777777" w:rsidR="00E11D79" w:rsidRPr="00D87DD9" w:rsidRDefault="00E11D79" w:rsidP="00930740">
      <w:pPr>
        <w:spacing w:after="0" w:line="240" w:lineRule="auto"/>
        <w:jc w:val="both"/>
        <w:rPr>
          <w:rFonts w:ascii="Times New Roman" w:eastAsia="Times New Roman" w:hAnsi="Times New Roman" w:cs="Times New Roman"/>
          <w:b/>
          <w:sz w:val="20"/>
          <w:szCs w:val="20"/>
          <w:lang w:val="es-ES" w:eastAsia="es-ES"/>
        </w:rPr>
      </w:pPr>
    </w:p>
    <w:p w14:paraId="487DEE2B" w14:textId="1F23B7CA" w:rsidR="00CE611C" w:rsidRPr="00D87DD9" w:rsidRDefault="00CE611C" w:rsidP="00930740">
      <w:pPr>
        <w:spacing w:after="0" w:line="240" w:lineRule="auto"/>
        <w:jc w:val="both"/>
        <w:rPr>
          <w:rFonts w:ascii="Times New Roman" w:eastAsia="Times New Roman" w:hAnsi="Times New Roman" w:cs="Times New Roman"/>
          <w:bCs/>
          <w:sz w:val="20"/>
          <w:szCs w:val="20"/>
          <w:lang w:val="es-ES" w:eastAsia="es-ES"/>
        </w:rPr>
      </w:pPr>
      <w:r w:rsidRPr="00D87DD9">
        <w:rPr>
          <w:rFonts w:ascii="Times New Roman" w:eastAsia="Times New Roman" w:hAnsi="Times New Roman" w:cs="Times New Roman"/>
          <w:b/>
          <w:sz w:val="20"/>
          <w:szCs w:val="20"/>
          <w:lang w:val="es-ES" w:eastAsia="es-ES"/>
        </w:rPr>
        <w:t>SEGUNDO.-</w:t>
      </w:r>
      <w:r w:rsidRPr="00D87DD9">
        <w:rPr>
          <w:rFonts w:ascii="Times New Roman" w:eastAsia="Times New Roman" w:hAnsi="Times New Roman" w:cs="Times New Roman"/>
          <w:bCs/>
          <w:sz w:val="20"/>
          <w:szCs w:val="20"/>
          <w:lang w:val="es-ES" w:eastAsia="es-ES"/>
        </w:rPr>
        <w:t xml:space="preserve"> Las Entidades Federativas, en cumplimiento a lo dispuesto por el artículo 7, segundo párrafo, de la Ley General de Contabilidad Gubernamental, deberán publicar el presente Acuerdo en los medios oficiales de difusión escritos y electrónicos dentro de un plazo de 30 días hábiles siguientes a la publicación del presente en el Diario Oficial de la Federación.</w:t>
      </w:r>
    </w:p>
    <w:p w14:paraId="6C9906A2" w14:textId="77777777" w:rsidR="00E11D79" w:rsidRPr="00D87DD9" w:rsidRDefault="00E11D79" w:rsidP="00930740">
      <w:pPr>
        <w:spacing w:after="0" w:line="240" w:lineRule="auto"/>
        <w:jc w:val="both"/>
        <w:rPr>
          <w:rFonts w:ascii="Times New Roman" w:eastAsia="Times New Roman" w:hAnsi="Times New Roman" w:cs="Times New Roman"/>
          <w:b/>
          <w:sz w:val="20"/>
          <w:szCs w:val="20"/>
          <w:lang w:val="es-ES" w:eastAsia="es-ES"/>
        </w:rPr>
      </w:pPr>
    </w:p>
    <w:p w14:paraId="2226C595" w14:textId="3871460C" w:rsidR="00CE611C" w:rsidRPr="00D87DD9" w:rsidRDefault="00CE611C" w:rsidP="00930740">
      <w:pPr>
        <w:spacing w:after="0" w:line="240" w:lineRule="auto"/>
        <w:jc w:val="both"/>
        <w:rPr>
          <w:rFonts w:ascii="Times New Roman" w:eastAsia="Times New Roman" w:hAnsi="Times New Roman" w:cs="Times New Roman"/>
          <w:bCs/>
          <w:sz w:val="20"/>
          <w:szCs w:val="20"/>
          <w:lang w:val="es-ES" w:eastAsia="es-ES"/>
        </w:rPr>
      </w:pPr>
      <w:r w:rsidRPr="00D87DD9">
        <w:rPr>
          <w:rFonts w:ascii="Times New Roman" w:eastAsia="Times New Roman" w:hAnsi="Times New Roman" w:cs="Times New Roman"/>
          <w:b/>
          <w:sz w:val="20"/>
          <w:szCs w:val="20"/>
          <w:lang w:val="es-ES" w:eastAsia="es-ES"/>
        </w:rPr>
        <w:t>TERCERO.-</w:t>
      </w:r>
      <w:r w:rsidRPr="00D87DD9">
        <w:rPr>
          <w:rFonts w:ascii="Times New Roman" w:eastAsia="Times New Roman" w:hAnsi="Times New Roman" w:cs="Times New Roman"/>
          <w:bCs/>
          <w:sz w:val="20"/>
          <w:szCs w:val="20"/>
          <w:lang w:val="es-ES" w:eastAsia="es-ES"/>
        </w:rPr>
        <w:t xml:space="preserve"> En términos del artículo 15, tercer párrafo, de la LGCG, la Secretaría Técnica del CONAC llevará un registro en una página de Internet de los actos que los entes públicos de las entidades federativas, municipios y demarcaciones territoriales de la Ciudad de México realicen para adoptar las decisiones del Consejo. Para tales efectos, los consejos de armonización contable de las entidades federativas remitirán a la Secretaría Técnica la información relacionada con dichos actos a la dirección electrónica conac_sriotecnico@hacienda.gob.mx, dentro de un plazo de 15 días hábiles contados a partir de la conclusión del plazo fijado en el transitorio anterior.</w:t>
      </w:r>
    </w:p>
    <w:p w14:paraId="373331C8" w14:textId="77777777" w:rsidR="00E11D79" w:rsidRPr="00D87DD9" w:rsidRDefault="00E11D79" w:rsidP="00930740">
      <w:pPr>
        <w:spacing w:after="0" w:line="240" w:lineRule="auto"/>
        <w:jc w:val="both"/>
        <w:rPr>
          <w:rFonts w:ascii="Times New Roman" w:eastAsia="Times New Roman" w:hAnsi="Times New Roman" w:cs="Times New Roman"/>
          <w:bCs/>
          <w:sz w:val="20"/>
          <w:szCs w:val="20"/>
          <w:lang w:val="es-ES" w:eastAsia="es-ES"/>
        </w:rPr>
      </w:pPr>
    </w:p>
    <w:p w14:paraId="5201F4B3" w14:textId="54345127" w:rsidR="007C2CE5" w:rsidRPr="00D87DD9" w:rsidRDefault="00CE611C" w:rsidP="00930740">
      <w:pPr>
        <w:spacing w:after="0" w:line="240" w:lineRule="auto"/>
        <w:jc w:val="both"/>
        <w:rPr>
          <w:rFonts w:ascii="Times New Roman" w:hAnsi="Times New Roman" w:cs="Times New Roman"/>
          <w:bCs/>
          <w:sz w:val="20"/>
          <w:szCs w:val="20"/>
        </w:rPr>
      </w:pPr>
      <w:r w:rsidRPr="00D87DD9">
        <w:rPr>
          <w:rFonts w:ascii="Times New Roman" w:eastAsia="Times New Roman" w:hAnsi="Times New Roman" w:cs="Times New Roman"/>
          <w:bCs/>
          <w:sz w:val="20"/>
          <w:szCs w:val="20"/>
          <w:lang w:val="es-ES" w:eastAsia="es-ES"/>
        </w:rPr>
        <w:t xml:space="preserve">En la Ciudad de México, siendo las catorce horas del día 16 de junio del año dos mil veintiséis, con fundamento en los artículos 11 de la Ley General de Contabilidad Gubernamental; 8 fracción IV y 23 fracción IX del Reglamento Interior de la Secretaría de Hacienda y Crédito Público y regla 20 de las Reglas de Operación del Consejo Nacional de Armonización Contable, el Titular de la Unidad de Contabilidad Gubernamental de la Subsecretaría de Egresos de la Secretaría de Hacienda y Crédito Público, en mi calidad de Secretario Técnico del Consejo Nacional de Armonización Contable, </w:t>
      </w:r>
      <w:r w:rsidRPr="00177A1E">
        <w:rPr>
          <w:rFonts w:ascii="Times New Roman" w:eastAsia="Times New Roman" w:hAnsi="Times New Roman" w:cs="Times New Roman"/>
          <w:b/>
          <w:sz w:val="20"/>
          <w:szCs w:val="20"/>
          <w:lang w:val="es-ES" w:eastAsia="es-ES"/>
        </w:rPr>
        <w:t>HAGO CONSTAR Y CERTIFICO</w:t>
      </w:r>
      <w:r w:rsidRPr="00D87DD9">
        <w:rPr>
          <w:rFonts w:ascii="Times New Roman" w:eastAsia="Times New Roman" w:hAnsi="Times New Roman" w:cs="Times New Roman"/>
          <w:bCs/>
          <w:sz w:val="20"/>
          <w:szCs w:val="20"/>
          <w:lang w:val="es-ES" w:eastAsia="es-ES"/>
        </w:rPr>
        <w:t xml:space="preserve"> que el documento consistente en 4 fojas útiles, rubricadas y cotejadas, corresponde con el texto del Acuerdo por el que se reforma y adiciona la Clasificación Programática (Tipología General), aprobado por el Consejo Nacional de Armonización Contable, mismo que estuvo a la vista de los integrantes de dicho Consejo en su sesión extraordinaria celebrada, en primera convocatoria, el 16 de junio del presente año, situación que se certifica para los efectos legales conducentes. El Secretario Técnico del Consejo Nacional de Armonización Contable, </w:t>
      </w:r>
      <w:r w:rsidRPr="00177A1E">
        <w:rPr>
          <w:rFonts w:ascii="Times New Roman" w:eastAsia="Times New Roman" w:hAnsi="Times New Roman" w:cs="Times New Roman"/>
          <w:b/>
          <w:sz w:val="20"/>
          <w:szCs w:val="20"/>
          <w:lang w:val="es-ES" w:eastAsia="es-ES"/>
        </w:rPr>
        <w:t>Mtro. Gerardo Almonte López</w:t>
      </w:r>
      <w:r w:rsidRPr="00D87DD9">
        <w:rPr>
          <w:rFonts w:ascii="Times New Roman" w:eastAsia="Times New Roman" w:hAnsi="Times New Roman" w:cs="Times New Roman"/>
          <w:bCs/>
          <w:sz w:val="20"/>
          <w:szCs w:val="20"/>
          <w:lang w:val="es-ES" w:eastAsia="es-ES"/>
        </w:rPr>
        <w:t>.- Rúbrica.</w:t>
      </w:r>
      <w:r w:rsidR="00274338">
        <w:rPr>
          <w:rFonts w:ascii="Times New Roman" w:eastAsia="Times New Roman" w:hAnsi="Times New Roman" w:cs="Times New Roman"/>
          <w:bCs/>
          <w:sz w:val="20"/>
          <w:szCs w:val="20"/>
          <w:lang w:val="es-ES" w:eastAsia="es-ES"/>
        </w:rPr>
        <w:t>”</w:t>
      </w:r>
    </w:p>
    <w:p w14:paraId="06DC7571" w14:textId="76048678" w:rsidR="000F5C30" w:rsidRDefault="000F5C30">
      <w:pPr>
        <w:rPr>
          <w:rFonts w:ascii="Times New Roman" w:hAnsi="Times New Roman" w:cs="Times New Roman"/>
          <w:b/>
          <w:sz w:val="20"/>
          <w:szCs w:val="20"/>
          <w:lang w:val="es-ES"/>
        </w:rPr>
      </w:pPr>
      <w:r>
        <w:rPr>
          <w:rFonts w:ascii="Times New Roman" w:hAnsi="Times New Roman" w:cs="Times New Roman"/>
          <w:b/>
          <w:sz w:val="20"/>
          <w:szCs w:val="20"/>
          <w:lang w:val="es-ES"/>
        </w:rPr>
        <w:br w:type="page"/>
      </w:r>
    </w:p>
    <w:p w14:paraId="5BD4702E" w14:textId="4209A3C4" w:rsidR="00C06C6A" w:rsidRPr="00D87DD9" w:rsidRDefault="00C06C6A" w:rsidP="00930740">
      <w:pPr>
        <w:spacing w:after="0" w:line="240" w:lineRule="auto"/>
        <w:jc w:val="center"/>
        <w:rPr>
          <w:rFonts w:ascii="Times New Roman" w:hAnsi="Times New Roman" w:cs="Times New Roman"/>
          <w:b/>
          <w:sz w:val="20"/>
          <w:szCs w:val="20"/>
          <w:lang w:val="es-ES"/>
        </w:rPr>
      </w:pPr>
      <w:r w:rsidRPr="00D87DD9">
        <w:rPr>
          <w:rFonts w:ascii="Times New Roman" w:hAnsi="Times New Roman" w:cs="Times New Roman"/>
          <w:b/>
          <w:sz w:val="20"/>
          <w:szCs w:val="20"/>
          <w:lang w:val="es-ES"/>
        </w:rPr>
        <w:lastRenderedPageBreak/>
        <w:t>Transitorios</w:t>
      </w:r>
    </w:p>
    <w:p w14:paraId="7FE06A20" w14:textId="77777777" w:rsidR="00C06C6A" w:rsidRPr="00D87DD9" w:rsidRDefault="00C06C6A" w:rsidP="00930740">
      <w:pPr>
        <w:spacing w:after="0" w:line="240" w:lineRule="auto"/>
        <w:jc w:val="both"/>
        <w:rPr>
          <w:rFonts w:ascii="Times New Roman" w:hAnsi="Times New Roman" w:cs="Times New Roman"/>
          <w:sz w:val="20"/>
          <w:szCs w:val="20"/>
          <w:lang w:val="es-ES"/>
        </w:rPr>
      </w:pPr>
    </w:p>
    <w:p w14:paraId="5F545BFD" w14:textId="77777777" w:rsidR="00C06C6A" w:rsidRPr="00D87DD9" w:rsidRDefault="00C06C6A" w:rsidP="00930740">
      <w:pPr>
        <w:spacing w:after="0" w:line="240" w:lineRule="auto"/>
        <w:jc w:val="both"/>
        <w:rPr>
          <w:rFonts w:ascii="Times New Roman" w:hAnsi="Times New Roman" w:cs="Times New Roman"/>
          <w:sz w:val="20"/>
          <w:szCs w:val="20"/>
          <w:lang w:val="es-ES"/>
        </w:rPr>
      </w:pPr>
      <w:r w:rsidRPr="00D87DD9">
        <w:rPr>
          <w:rFonts w:ascii="Times New Roman" w:hAnsi="Times New Roman" w:cs="Times New Roman"/>
          <w:b/>
          <w:sz w:val="20"/>
          <w:szCs w:val="20"/>
          <w:lang w:val="es-ES"/>
        </w:rPr>
        <w:t>PRIMERO:</w:t>
      </w:r>
      <w:r w:rsidRPr="00D87DD9">
        <w:rPr>
          <w:rFonts w:ascii="Times New Roman" w:hAnsi="Times New Roman" w:cs="Times New Roman"/>
          <w:sz w:val="20"/>
          <w:szCs w:val="20"/>
          <w:lang w:val="es-ES"/>
        </w:rPr>
        <w:t xml:space="preserve"> Publíquese en la Gaceta Oficial de la Ciudad de México, para su debida observancia y aplicación.</w:t>
      </w:r>
    </w:p>
    <w:p w14:paraId="4259D73F" w14:textId="77777777" w:rsidR="00C06C6A" w:rsidRPr="00D87DD9" w:rsidRDefault="00C06C6A" w:rsidP="00930740">
      <w:pPr>
        <w:spacing w:after="0" w:line="240" w:lineRule="auto"/>
        <w:jc w:val="both"/>
        <w:rPr>
          <w:rFonts w:ascii="Times New Roman" w:hAnsi="Times New Roman" w:cs="Times New Roman"/>
          <w:sz w:val="20"/>
          <w:szCs w:val="20"/>
          <w:lang w:val="es-ES"/>
        </w:rPr>
      </w:pPr>
    </w:p>
    <w:p w14:paraId="0BA359AA" w14:textId="6B314EFC" w:rsidR="00C06C6A" w:rsidRPr="00FD4628" w:rsidRDefault="00C06C6A" w:rsidP="00930740">
      <w:pPr>
        <w:spacing w:after="0" w:line="240" w:lineRule="auto"/>
        <w:jc w:val="both"/>
        <w:rPr>
          <w:rFonts w:ascii="Times New Roman" w:hAnsi="Times New Roman" w:cs="Times New Roman"/>
          <w:b/>
          <w:sz w:val="20"/>
          <w:szCs w:val="20"/>
        </w:rPr>
      </w:pPr>
      <w:r w:rsidRPr="00D87DD9">
        <w:rPr>
          <w:rFonts w:ascii="Times New Roman" w:hAnsi="Times New Roman" w:cs="Times New Roman"/>
          <w:b/>
          <w:sz w:val="20"/>
          <w:szCs w:val="20"/>
          <w:lang w:val="es-ES"/>
        </w:rPr>
        <w:t>SEGUNDO:</w:t>
      </w:r>
      <w:r w:rsidRPr="00D87DD9">
        <w:rPr>
          <w:rFonts w:ascii="Times New Roman" w:hAnsi="Times New Roman" w:cs="Times New Roman"/>
          <w:sz w:val="20"/>
          <w:szCs w:val="20"/>
          <w:lang w:val="es-ES"/>
        </w:rPr>
        <w:t xml:space="preserve"> El presente</w:t>
      </w:r>
      <w:r w:rsidR="00957F03" w:rsidRPr="00D87DD9">
        <w:rPr>
          <w:rFonts w:ascii="Times New Roman" w:hAnsi="Times New Roman" w:cs="Times New Roman"/>
          <w:sz w:val="20"/>
          <w:szCs w:val="20"/>
        </w:rPr>
        <w:t xml:space="preserve"> </w:t>
      </w:r>
      <w:r w:rsidR="00957F03" w:rsidRPr="00D87DD9">
        <w:rPr>
          <w:rFonts w:ascii="Times New Roman" w:hAnsi="Times New Roman" w:cs="Times New Roman"/>
          <w:sz w:val="20"/>
          <w:szCs w:val="20"/>
          <w:lang w:val="es-ES"/>
        </w:rPr>
        <w:t xml:space="preserve">Aviso por el cual se da a conocer el </w:t>
      </w:r>
      <w:r w:rsidR="00E11D79" w:rsidRPr="00D87DD9">
        <w:rPr>
          <w:rFonts w:ascii="Times New Roman" w:eastAsia="Times New Roman" w:hAnsi="Times New Roman" w:cs="Times New Roman"/>
          <w:sz w:val="20"/>
          <w:szCs w:val="20"/>
          <w:lang w:val="es-ES" w:eastAsia="es-ES"/>
        </w:rPr>
        <w:t>Acuerdo por el que se Reforma y Adiciona la Clasificación Programática (Tipología General)</w:t>
      </w:r>
      <w:r w:rsidRPr="00D87DD9">
        <w:rPr>
          <w:rFonts w:ascii="Times New Roman" w:hAnsi="Times New Roman" w:cs="Times New Roman"/>
          <w:bCs/>
          <w:sz w:val="20"/>
          <w:szCs w:val="20"/>
          <w:lang w:val="es-ES"/>
        </w:rPr>
        <w:t>,</w:t>
      </w:r>
      <w:r w:rsidRPr="00D87DD9">
        <w:rPr>
          <w:rFonts w:ascii="Times New Roman" w:hAnsi="Times New Roman" w:cs="Times New Roman"/>
          <w:sz w:val="20"/>
          <w:szCs w:val="20"/>
          <w:lang w:val="es-ES"/>
        </w:rPr>
        <w:t xml:space="preserve"> iniciará su vigencia el día siguiente a su publicación en la Gaceta Oficial de la Ciudad de México y </w:t>
      </w:r>
      <w:r w:rsidR="00C42453" w:rsidRPr="00D87DD9">
        <w:rPr>
          <w:rFonts w:ascii="Times New Roman" w:hAnsi="Times New Roman" w:cs="Times New Roman"/>
          <w:sz w:val="20"/>
          <w:szCs w:val="20"/>
          <w:lang w:val="es-ES"/>
        </w:rPr>
        <w:t>será</w:t>
      </w:r>
      <w:r w:rsidR="001613C0" w:rsidRPr="00D87DD9">
        <w:rPr>
          <w:rFonts w:ascii="Times New Roman" w:hAnsi="Times New Roman" w:cs="Times New Roman"/>
          <w:sz w:val="20"/>
          <w:szCs w:val="20"/>
          <w:lang w:val="es-ES"/>
        </w:rPr>
        <w:t xml:space="preserve"> </w:t>
      </w:r>
      <w:r w:rsidR="001613C0" w:rsidRPr="00FD4628">
        <w:rPr>
          <w:rFonts w:ascii="Times New Roman" w:hAnsi="Times New Roman" w:cs="Times New Roman"/>
          <w:sz w:val="20"/>
          <w:szCs w:val="20"/>
          <w:lang w:val="es-ES"/>
        </w:rPr>
        <w:t xml:space="preserve">utilizado </w:t>
      </w:r>
      <w:r w:rsidR="00C42453" w:rsidRPr="00FD4628">
        <w:rPr>
          <w:rFonts w:ascii="Times New Roman" w:hAnsi="Times New Roman" w:cs="Times New Roman"/>
          <w:sz w:val="20"/>
          <w:szCs w:val="20"/>
          <w:lang w:val="es-ES"/>
        </w:rPr>
        <w:t>a partir de</w:t>
      </w:r>
      <w:r w:rsidR="00E11D79" w:rsidRPr="00FD4628">
        <w:rPr>
          <w:rFonts w:ascii="Times New Roman" w:hAnsi="Times New Roman" w:cs="Times New Roman"/>
          <w:sz w:val="20"/>
          <w:szCs w:val="20"/>
          <w:lang w:val="es-ES"/>
        </w:rPr>
        <w:t xml:space="preserve"> </w:t>
      </w:r>
      <w:r w:rsidR="00C42453" w:rsidRPr="00FD4628">
        <w:rPr>
          <w:rFonts w:ascii="Times New Roman" w:hAnsi="Times New Roman" w:cs="Times New Roman"/>
          <w:sz w:val="20"/>
          <w:szCs w:val="20"/>
          <w:lang w:val="es-ES"/>
        </w:rPr>
        <w:t>l</w:t>
      </w:r>
      <w:r w:rsidR="00E11D79" w:rsidRPr="00FD4628">
        <w:rPr>
          <w:rFonts w:ascii="Times New Roman" w:hAnsi="Times New Roman" w:cs="Times New Roman"/>
          <w:sz w:val="20"/>
          <w:szCs w:val="20"/>
          <w:lang w:val="es-ES"/>
        </w:rPr>
        <w:t xml:space="preserve">a elaboración del Proyecto de Presupuesto de Egresos de </w:t>
      </w:r>
      <w:r w:rsidR="001613C0" w:rsidRPr="00FD4628">
        <w:rPr>
          <w:rFonts w:ascii="Times New Roman" w:hAnsi="Times New Roman" w:cs="Times New Roman"/>
          <w:sz w:val="20"/>
          <w:szCs w:val="20"/>
          <w:lang w:val="es-ES"/>
        </w:rPr>
        <w:t xml:space="preserve"> la Ciudad de México </w:t>
      </w:r>
      <w:r w:rsidR="00E11D79" w:rsidRPr="00FD4628">
        <w:rPr>
          <w:rFonts w:ascii="Times New Roman" w:hAnsi="Times New Roman" w:cs="Times New Roman"/>
          <w:sz w:val="20"/>
          <w:szCs w:val="20"/>
          <w:lang w:val="es-ES"/>
        </w:rPr>
        <w:t>2027</w:t>
      </w:r>
      <w:r w:rsidR="00C42453" w:rsidRPr="00FD4628">
        <w:rPr>
          <w:rFonts w:ascii="Times New Roman" w:hAnsi="Times New Roman" w:cs="Times New Roman"/>
          <w:sz w:val="20"/>
          <w:szCs w:val="20"/>
          <w:lang w:val="es-ES"/>
        </w:rPr>
        <w:t>.</w:t>
      </w:r>
    </w:p>
    <w:p w14:paraId="14B39711" w14:textId="77777777" w:rsidR="00C06C6A" w:rsidRPr="00FD4628" w:rsidRDefault="00C06C6A" w:rsidP="00930740">
      <w:pPr>
        <w:spacing w:after="0" w:line="240" w:lineRule="auto"/>
        <w:jc w:val="both"/>
        <w:rPr>
          <w:rFonts w:ascii="Times New Roman" w:hAnsi="Times New Roman" w:cs="Times New Roman"/>
          <w:sz w:val="20"/>
          <w:szCs w:val="20"/>
          <w:lang w:val="es-ES"/>
        </w:rPr>
      </w:pPr>
    </w:p>
    <w:p w14:paraId="48B72584" w14:textId="369DD8F6" w:rsidR="00C06C6A" w:rsidRPr="00D87DD9" w:rsidRDefault="00C06C6A" w:rsidP="00A64C3A">
      <w:pPr>
        <w:spacing w:after="0" w:line="240" w:lineRule="auto"/>
        <w:jc w:val="center"/>
        <w:rPr>
          <w:rFonts w:ascii="Times New Roman" w:hAnsi="Times New Roman" w:cs="Times New Roman"/>
          <w:sz w:val="20"/>
          <w:szCs w:val="20"/>
          <w:lang w:val="es-ES"/>
        </w:rPr>
      </w:pPr>
      <w:r w:rsidRPr="00FD4628">
        <w:rPr>
          <w:rFonts w:ascii="Times New Roman" w:hAnsi="Times New Roman" w:cs="Times New Roman"/>
          <w:sz w:val="20"/>
          <w:szCs w:val="20"/>
          <w:lang w:val="es-ES"/>
        </w:rPr>
        <w:t>Ciudad de México,</w:t>
      </w:r>
      <w:r w:rsidR="002016CC" w:rsidRPr="00FD4628">
        <w:rPr>
          <w:rFonts w:ascii="Times New Roman" w:hAnsi="Times New Roman" w:cs="Times New Roman"/>
          <w:sz w:val="20"/>
          <w:szCs w:val="20"/>
          <w:lang w:val="es-ES"/>
        </w:rPr>
        <w:t xml:space="preserve"> a </w:t>
      </w:r>
      <w:r w:rsidR="00A665E1" w:rsidRPr="00FD4628">
        <w:rPr>
          <w:rFonts w:ascii="Times New Roman" w:hAnsi="Times New Roman" w:cs="Times New Roman"/>
          <w:sz w:val="20"/>
          <w:szCs w:val="20"/>
          <w:lang w:val="es-ES"/>
        </w:rPr>
        <w:t>1</w:t>
      </w:r>
      <w:r w:rsidR="007A6755">
        <w:rPr>
          <w:rFonts w:ascii="Times New Roman" w:hAnsi="Times New Roman" w:cs="Times New Roman"/>
          <w:sz w:val="20"/>
          <w:szCs w:val="20"/>
          <w:lang w:val="es-ES"/>
        </w:rPr>
        <w:t>0</w:t>
      </w:r>
      <w:r w:rsidR="00B564E4" w:rsidRPr="00FD4628">
        <w:rPr>
          <w:rFonts w:ascii="Times New Roman" w:hAnsi="Times New Roman" w:cs="Times New Roman"/>
          <w:sz w:val="20"/>
          <w:szCs w:val="20"/>
          <w:lang w:val="es-ES"/>
        </w:rPr>
        <w:t xml:space="preserve"> </w:t>
      </w:r>
      <w:r w:rsidRPr="00FD4628">
        <w:rPr>
          <w:rFonts w:ascii="Times New Roman" w:hAnsi="Times New Roman" w:cs="Times New Roman"/>
          <w:sz w:val="20"/>
          <w:szCs w:val="20"/>
          <w:lang w:val="es-ES"/>
        </w:rPr>
        <w:t xml:space="preserve">de </w:t>
      </w:r>
      <w:r w:rsidR="00E11D79" w:rsidRPr="00FD4628">
        <w:rPr>
          <w:rFonts w:ascii="Times New Roman" w:hAnsi="Times New Roman" w:cs="Times New Roman"/>
          <w:sz w:val="20"/>
          <w:szCs w:val="20"/>
          <w:lang w:val="es-ES"/>
        </w:rPr>
        <w:t xml:space="preserve">julio de </w:t>
      </w:r>
      <w:r w:rsidR="007D1651" w:rsidRPr="00FD4628">
        <w:rPr>
          <w:rFonts w:ascii="Times New Roman" w:hAnsi="Times New Roman" w:cs="Times New Roman"/>
          <w:sz w:val="20"/>
          <w:szCs w:val="20"/>
          <w:lang w:val="es-ES"/>
        </w:rPr>
        <w:t>2026</w:t>
      </w:r>
      <w:r w:rsidRPr="00FD4628">
        <w:rPr>
          <w:rFonts w:ascii="Times New Roman" w:hAnsi="Times New Roman" w:cs="Times New Roman"/>
          <w:sz w:val="20"/>
          <w:szCs w:val="20"/>
          <w:lang w:val="es-ES"/>
        </w:rPr>
        <w:t>.</w:t>
      </w:r>
    </w:p>
    <w:p w14:paraId="60872C3D" w14:textId="77777777" w:rsidR="00E11D79" w:rsidRPr="00D87DD9" w:rsidRDefault="00E11D79" w:rsidP="00930740">
      <w:pPr>
        <w:spacing w:after="0" w:line="240" w:lineRule="auto"/>
        <w:jc w:val="center"/>
        <w:rPr>
          <w:rFonts w:ascii="Times New Roman" w:hAnsi="Times New Roman" w:cs="Times New Roman"/>
          <w:b/>
          <w:sz w:val="20"/>
          <w:szCs w:val="20"/>
          <w:lang w:val="es-ES"/>
        </w:rPr>
      </w:pPr>
    </w:p>
    <w:p w14:paraId="21558CEA" w14:textId="77777777" w:rsidR="00E11D79" w:rsidRPr="00D87DD9" w:rsidRDefault="00E11D79" w:rsidP="00930740">
      <w:pPr>
        <w:spacing w:after="0" w:line="240" w:lineRule="auto"/>
        <w:jc w:val="center"/>
        <w:rPr>
          <w:rFonts w:ascii="Times New Roman" w:hAnsi="Times New Roman" w:cs="Times New Roman"/>
          <w:b/>
          <w:sz w:val="20"/>
          <w:szCs w:val="20"/>
          <w:lang w:val="es-ES"/>
        </w:rPr>
      </w:pPr>
    </w:p>
    <w:p w14:paraId="5B914149" w14:textId="77777777" w:rsidR="00E11D79" w:rsidRPr="00D87DD9" w:rsidRDefault="00E11D79" w:rsidP="00930740">
      <w:pPr>
        <w:spacing w:after="0" w:line="240" w:lineRule="auto"/>
        <w:jc w:val="center"/>
        <w:rPr>
          <w:rFonts w:ascii="Times New Roman" w:hAnsi="Times New Roman" w:cs="Times New Roman"/>
          <w:b/>
          <w:sz w:val="20"/>
          <w:szCs w:val="20"/>
          <w:lang w:val="es-ES"/>
        </w:rPr>
      </w:pPr>
    </w:p>
    <w:p w14:paraId="2CE02B0C" w14:textId="6A0BA3A1" w:rsidR="00C06C6A" w:rsidRPr="00D87DD9" w:rsidRDefault="00C06C6A" w:rsidP="00930740">
      <w:pPr>
        <w:spacing w:after="0" w:line="240" w:lineRule="auto"/>
        <w:jc w:val="center"/>
        <w:rPr>
          <w:rFonts w:ascii="Times New Roman" w:hAnsi="Times New Roman" w:cs="Times New Roman"/>
          <w:b/>
          <w:sz w:val="20"/>
          <w:szCs w:val="20"/>
          <w:lang w:val="es-ES"/>
        </w:rPr>
      </w:pPr>
      <w:r w:rsidRPr="00D87DD9">
        <w:rPr>
          <w:rFonts w:ascii="Times New Roman" w:hAnsi="Times New Roman" w:cs="Times New Roman"/>
          <w:b/>
          <w:sz w:val="20"/>
          <w:szCs w:val="20"/>
          <w:lang w:val="es-ES"/>
        </w:rPr>
        <w:t>Act. María del Carmen Moreno Ramírez</w:t>
      </w:r>
    </w:p>
    <w:p w14:paraId="2EE028F4" w14:textId="77777777" w:rsidR="00C06C6A" w:rsidRPr="00D87DD9" w:rsidRDefault="00C06C6A" w:rsidP="00930740">
      <w:pPr>
        <w:spacing w:after="0" w:line="240" w:lineRule="auto"/>
        <w:jc w:val="center"/>
        <w:rPr>
          <w:rFonts w:ascii="Times New Roman" w:hAnsi="Times New Roman" w:cs="Times New Roman"/>
          <w:sz w:val="20"/>
          <w:szCs w:val="20"/>
          <w:lang w:val="es-ES"/>
        </w:rPr>
      </w:pPr>
      <w:r w:rsidRPr="00D87DD9">
        <w:rPr>
          <w:rFonts w:ascii="Times New Roman" w:hAnsi="Times New Roman" w:cs="Times New Roman"/>
          <w:sz w:val="20"/>
          <w:szCs w:val="20"/>
          <w:lang w:val="es-ES"/>
        </w:rPr>
        <w:t>Directora General de Armonización Contable y Rendición de Cuentas y Secretaria Técnica del</w:t>
      </w:r>
    </w:p>
    <w:p w14:paraId="68839DCA" w14:textId="271BDC32" w:rsidR="00957F03" w:rsidRPr="00D87DD9" w:rsidRDefault="00C06C6A" w:rsidP="00930740">
      <w:pPr>
        <w:spacing w:after="0" w:line="240" w:lineRule="auto"/>
        <w:jc w:val="center"/>
        <w:rPr>
          <w:rFonts w:ascii="Times New Roman" w:hAnsi="Times New Roman" w:cs="Times New Roman"/>
          <w:sz w:val="20"/>
          <w:szCs w:val="20"/>
          <w:lang w:val="es-ES"/>
        </w:rPr>
      </w:pPr>
      <w:r w:rsidRPr="00D87DD9">
        <w:rPr>
          <w:rFonts w:ascii="Times New Roman" w:hAnsi="Times New Roman" w:cs="Times New Roman"/>
          <w:sz w:val="20"/>
          <w:szCs w:val="20"/>
          <w:lang w:val="es-ES"/>
        </w:rPr>
        <w:t>Consejo de Armonización Contable de la Ciudad de México</w:t>
      </w:r>
    </w:p>
    <w:sectPr w:rsidR="00957F03" w:rsidRPr="00D87DD9" w:rsidSect="00C0412F">
      <w:pgSz w:w="12240" w:h="15840"/>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067BD" w14:textId="77777777" w:rsidR="00E83EFA" w:rsidRDefault="00E83EFA" w:rsidP="00D05348">
      <w:pPr>
        <w:spacing w:after="0" w:line="240" w:lineRule="auto"/>
      </w:pPr>
      <w:r>
        <w:separator/>
      </w:r>
    </w:p>
  </w:endnote>
  <w:endnote w:type="continuationSeparator" w:id="0">
    <w:p w14:paraId="75548629" w14:textId="77777777" w:rsidR="00E83EFA" w:rsidRDefault="00E83EFA" w:rsidP="00D05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D9AC6" w14:textId="77777777" w:rsidR="00E83EFA" w:rsidRDefault="00E83EFA" w:rsidP="00D05348">
      <w:pPr>
        <w:spacing w:after="0" w:line="240" w:lineRule="auto"/>
      </w:pPr>
      <w:r>
        <w:separator/>
      </w:r>
    </w:p>
  </w:footnote>
  <w:footnote w:type="continuationSeparator" w:id="0">
    <w:p w14:paraId="3778DCCA" w14:textId="77777777" w:rsidR="00E83EFA" w:rsidRDefault="00E83EFA" w:rsidP="00D053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41B09"/>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60FF6CE5"/>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3BF3757"/>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14700845">
    <w:abstractNumId w:val="0"/>
  </w:num>
  <w:num w:numId="2" w16cid:durableId="1321346351">
    <w:abstractNumId w:val="1"/>
  </w:num>
  <w:num w:numId="3" w16cid:durableId="2019885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48"/>
    <w:rsid w:val="00002BD2"/>
    <w:rsid w:val="000177AA"/>
    <w:rsid w:val="00031CC5"/>
    <w:rsid w:val="00035469"/>
    <w:rsid w:val="00036460"/>
    <w:rsid w:val="00041514"/>
    <w:rsid w:val="0005165A"/>
    <w:rsid w:val="000520AC"/>
    <w:rsid w:val="00052525"/>
    <w:rsid w:val="00066BE0"/>
    <w:rsid w:val="000813E7"/>
    <w:rsid w:val="00081AB4"/>
    <w:rsid w:val="000A3671"/>
    <w:rsid w:val="000A48D1"/>
    <w:rsid w:val="000B5B69"/>
    <w:rsid w:val="000C09BA"/>
    <w:rsid w:val="000C3239"/>
    <w:rsid w:val="000C3421"/>
    <w:rsid w:val="000C7564"/>
    <w:rsid w:val="000E0D16"/>
    <w:rsid w:val="000F5C30"/>
    <w:rsid w:val="00110B6F"/>
    <w:rsid w:val="0011351C"/>
    <w:rsid w:val="00153202"/>
    <w:rsid w:val="00154B25"/>
    <w:rsid w:val="001613C0"/>
    <w:rsid w:val="00174A85"/>
    <w:rsid w:val="00177A1E"/>
    <w:rsid w:val="00180EE5"/>
    <w:rsid w:val="001A1A11"/>
    <w:rsid w:val="001A4540"/>
    <w:rsid w:val="001B60B2"/>
    <w:rsid w:val="001C3633"/>
    <w:rsid w:val="001C69D0"/>
    <w:rsid w:val="001E2074"/>
    <w:rsid w:val="001E5892"/>
    <w:rsid w:val="001E7356"/>
    <w:rsid w:val="001F21F7"/>
    <w:rsid w:val="002016CC"/>
    <w:rsid w:val="0021198C"/>
    <w:rsid w:val="00212306"/>
    <w:rsid w:val="00224394"/>
    <w:rsid w:val="0023094A"/>
    <w:rsid w:val="00251863"/>
    <w:rsid w:val="00254553"/>
    <w:rsid w:val="0025782A"/>
    <w:rsid w:val="002614BA"/>
    <w:rsid w:val="002642E8"/>
    <w:rsid w:val="00274338"/>
    <w:rsid w:val="002747A3"/>
    <w:rsid w:val="00281001"/>
    <w:rsid w:val="002A5A73"/>
    <w:rsid w:val="002C157E"/>
    <w:rsid w:val="002D2342"/>
    <w:rsid w:val="002E43D8"/>
    <w:rsid w:val="002F483C"/>
    <w:rsid w:val="00304BF3"/>
    <w:rsid w:val="00310C20"/>
    <w:rsid w:val="00311081"/>
    <w:rsid w:val="00314515"/>
    <w:rsid w:val="0033255F"/>
    <w:rsid w:val="00350591"/>
    <w:rsid w:val="003A17FA"/>
    <w:rsid w:val="003A296F"/>
    <w:rsid w:val="003A4A51"/>
    <w:rsid w:val="003B334C"/>
    <w:rsid w:val="003D4457"/>
    <w:rsid w:val="003E583D"/>
    <w:rsid w:val="003E5B4A"/>
    <w:rsid w:val="003E5B52"/>
    <w:rsid w:val="003F48DB"/>
    <w:rsid w:val="003F5AD5"/>
    <w:rsid w:val="00407252"/>
    <w:rsid w:val="004146B3"/>
    <w:rsid w:val="00415E91"/>
    <w:rsid w:val="004165C9"/>
    <w:rsid w:val="00430123"/>
    <w:rsid w:val="004461EA"/>
    <w:rsid w:val="00446A9E"/>
    <w:rsid w:val="00462C83"/>
    <w:rsid w:val="00483400"/>
    <w:rsid w:val="004912AA"/>
    <w:rsid w:val="00497777"/>
    <w:rsid w:val="00497D0E"/>
    <w:rsid w:val="004C3874"/>
    <w:rsid w:val="004E11D1"/>
    <w:rsid w:val="004E7CD3"/>
    <w:rsid w:val="00510330"/>
    <w:rsid w:val="0051266E"/>
    <w:rsid w:val="005145A4"/>
    <w:rsid w:val="00514AED"/>
    <w:rsid w:val="00521863"/>
    <w:rsid w:val="00540C53"/>
    <w:rsid w:val="00545600"/>
    <w:rsid w:val="00551F0B"/>
    <w:rsid w:val="00553C5C"/>
    <w:rsid w:val="00563E11"/>
    <w:rsid w:val="00565657"/>
    <w:rsid w:val="0057206E"/>
    <w:rsid w:val="005745E4"/>
    <w:rsid w:val="005838AB"/>
    <w:rsid w:val="00584CFF"/>
    <w:rsid w:val="00597DC8"/>
    <w:rsid w:val="005A3B50"/>
    <w:rsid w:val="005D042E"/>
    <w:rsid w:val="005E53CF"/>
    <w:rsid w:val="006020BB"/>
    <w:rsid w:val="00623735"/>
    <w:rsid w:val="0063151E"/>
    <w:rsid w:val="00642947"/>
    <w:rsid w:val="00651F09"/>
    <w:rsid w:val="0066711A"/>
    <w:rsid w:val="0067103D"/>
    <w:rsid w:val="00682FCF"/>
    <w:rsid w:val="006848E2"/>
    <w:rsid w:val="006A48A2"/>
    <w:rsid w:val="006E6A39"/>
    <w:rsid w:val="006E7484"/>
    <w:rsid w:val="006F31F7"/>
    <w:rsid w:val="0070167C"/>
    <w:rsid w:val="00705A09"/>
    <w:rsid w:val="00710456"/>
    <w:rsid w:val="0071567F"/>
    <w:rsid w:val="00733C25"/>
    <w:rsid w:val="00744DF0"/>
    <w:rsid w:val="007479B5"/>
    <w:rsid w:val="00776C51"/>
    <w:rsid w:val="007856AC"/>
    <w:rsid w:val="00786D0D"/>
    <w:rsid w:val="00790F86"/>
    <w:rsid w:val="0079512C"/>
    <w:rsid w:val="007A1928"/>
    <w:rsid w:val="007A2DFC"/>
    <w:rsid w:val="007A6755"/>
    <w:rsid w:val="007C2CE5"/>
    <w:rsid w:val="007C5C46"/>
    <w:rsid w:val="007D1651"/>
    <w:rsid w:val="007E59C1"/>
    <w:rsid w:val="007F5A1C"/>
    <w:rsid w:val="00800D09"/>
    <w:rsid w:val="00804477"/>
    <w:rsid w:val="00804551"/>
    <w:rsid w:val="00815652"/>
    <w:rsid w:val="00841721"/>
    <w:rsid w:val="00847823"/>
    <w:rsid w:val="0085662D"/>
    <w:rsid w:val="0087416C"/>
    <w:rsid w:val="008802C2"/>
    <w:rsid w:val="0089529C"/>
    <w:rsid w:val="008B1A73"/>
    <w:rsid w:val="008C76C1"/>
    <w:rsid w:val="008F08CC"/>
    <w:rsid w:val="008F09A4"/>
    <w:rsid w:val="00930101"/>
    <w:rsid w:val="00930740"/>
    <w:rsid w:val="00944DB4"/>
    <w:rsid w:val="00957F03"/>
    <w:rsid w:val="00964ABF"/>
    <w:rsid w:val="00984CB1"/>
    <w:rsid w:val="0099016A"/>
    <w:rsid w:val="009A299B"/>
    <w:rsid w:val="009A74F2"/>
    <w:rsid w:val="009B63C7"/>
    <w:rsid w:val="009C70CE"/>
    <w:rsid w:val="009E7693"/>
    <w:rsid w:val="009F2AC5"/>
    <w:rsid w:val="009F39DA"/>
    <w:rsid w:val="009F5173"/>
    <w:rsid w:val="00A0348E"/>
    <w:rsid w:val="00A05C17"/>
    <w:rsid w:val="00A114B4"/>
    <w:rsid w:val="00A20A01"/>
    <w:rsid w:val="00A21FE0"/>
    <w:rsid w:val="00A22B19"/>
    <w:rsid w:val="00A22E0C"/>
    <w:rsid w:val="00A3118E"/>
    <w:rsid w:val="00A35D50"/>
    <w:rsid w:val="00A44C20"/>
    <w:rsid w:val="00A6430A"/>
    <w:rsid w:val="00A64C3A"/>
    <w:rsid w:val="00A665E1"/>
    <w:rsid w:val="00A6798E"/>
    <w:rsid w:val="00A7253E"/>
    <w:rsid w:val="00A75603"/>
    <w:rsid w:val="00B138B0"/>
    <w:rsid w:val="00B138CA"/>
    <w:rsid w:val="00B145E8"/>
    <w:rsid w:val="00B14C8A"/>
    <w:rsid w:val="00B3501E"/>
    <w:rsid w:val="00B434AE"/>
    <w:rsid w:val="00B45034"/>
    <w:rsid w:val="00B51E69"/>
    <w:rsid w:val="00B53E82"/>
    <w:rsid w:val="00B564E4"/>
    <w:rsid w:val="00B66A37"/>
    <w:rsid w:val="00B72179"/>
    <w:rsid w:val="00B730E6"/>
    <w:rsid w:val="00B82776"/>
    <w:rsid w:val="00B92816"/>
    <w:rsid w:val="00BA6622"/>
    <w:rsid w:val="00BB054D"/>
    <w:rsid w:val="00BB27F5"/>
    <w:rsid w:val="00BB2881"/>
    <w:rsid w:val="00BB6290"/>
    <w:rsid w:val="00BE1C19"/>
    <w:rsid w:val="00BF64A9"/>
    <w:rsid w:val="00C00FED"/>
    <w:rsid w:val="00C0412F"/>
    <w:rsid w:val="00C06C6A"/>
    <w:rsid w:val="00C07A93"/>
    <w:rsid w:val="00C26176"/>
    <w:rsid w:val="00C31B6C"/>
    <w:rsid w:val="00C42453"/>
    <w:rsid w:val="00C428F6"/>
    <w:rsid w:val="00C60B86"/>
    <w:rsid w:val="00C67182"/>
    <w:rsid w:val="00C76832"/>
    <w:rsid w:val="00C83640"/>
    <w:rsid w:val="00C84F11"/>
    <w:rsid w:val="00C915DB"/>
    <w:rsid w:val="00CA3093"/>
    <w:rsid w:val="00CB1C02"/>
    <w:rsid w:val="00CD05B0"/>
    <w:rsid w:val="00CD5099"/>
    <w:rsid w:val="00CE400C"/>
    <w:rsid w:val="00CE4FD8"/>
    <w:rsid w:val="00CE611C"/>
    <w:rsid w:val="00CE69E9"/>
    <w:rsid w:val="00CE6C61"/>
    <w:rsid w:val="00CF2E7B"/>
    <w:rsid w:val="00CF5FDB"/>
    <w:rsid w:val="00D00431"/>
    <w:rsid w:val="00D0124D"/>
    <w:rsid w:val="00D05348"/>
    <w:rsid w:val="00D15B31"/>
    <w:rsid w:val="00D24231"/>
    <w:rsid w:val="00D30B81"/>
    <w:rsid w:val="00D36645"/>
    <w:rsid w:val="00D3788F"/>
    <w:rsid w:val="00D466BC"/>
    <w:rsid w:val="00D637A2"/>
    <w:rsid w:val="00D73801"/>
    <w:rsid w:val="00D76188"/>
    <w:rsid w:val="00D87DD9"/>
    <w:rsid w:val="00DA4BCD"/>
    <w:rsid w:val="00DB0ED4"/>
    <w:rsid w:val="00DB22D2"/>
    <w:rsid w:val="00DC569C"/>
    <w:rsid w:val="00DD05A8"/>
    <w:rsid w:val="00DD6110"/>
    <w:rsid w:val="00DE1A6B"/>
    <w:rsid w:val="00E11D79"/>
    <w:rsid w:val="00E14520"/>
    <w:rsid w:val="00E1565B"/>
    <w:rsid w:val="00E32960"/>
    <w:rsid w:val="00E35EFE"/>
    <w:rsid w:val="00E5589E"/>
    <w:rsid w:val="00E62D74"/>
    <w:rsid w:val="00E71B64"/>
    <w:rsid w:val="00E733DE"/>
    <w:rsid w:val="00E7424D"/>
    <w:rsid w:val="00E83EFA"/>
    <w:rsid w:val="00E9507D"/>
    <w:rsid w:val="00EA34A1"/>
    <w:rsid w:val="00EB2700"/>
    <w:rsid w:val="00EE625D"/>
    <w:rsid w:val="00F17BC6"/>
    <w:rsid w:val="00F458E0"/>
    <w:rsid w:val="00F53EC8"/>
    <w:rsid w:val="00F57F55"/>
    <w:rsid w:val="00F64D41"/>
    <w:rsid w:val="00F702F1"/>
    <w:rsid w:val="00F733CF"/>
    <w:rsid w:val="00F92006"/>
    <w:rsid w:val="00FA6AEA"/>
    <w:rsid w:val="00FC1216"/>
    <w:rsid w:val="00FC4207"/>
    <w:rsid w:val="00FD4628"/>
    <w:rsid w:val="00FD56C9"/>
    <w:rsid w:val="00FF3628"/>
    <w:rsid w:val="00FF44AF"/>
    <w:rsid w:val="00FF6D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B31F0"/>
  <w15:chartTrackingRefBased/>
  <w15:docId w15:val="{F5E1AC49-3D66-4B9B-A631-7B0A0F5E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53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5348"/>
  </w:style>
  <w:style w:type="paragraph" w:styleId="Piedepgina">
    <w:name w:val="footer"/>
    <w:basedOn w:val="Normal"/>
    <w:link w:val="PiedepginaCar"/>
    <w:uiPriority w:val="99"/>
    <w:unhideWhenUsed/>
    <w:rsid w:val="00D053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5348"/>
  </w:style>
  <w:style w:type="paragraph" w:styleId="Sinespaciado">
    <w:name w:val="No Spacing"/>
    <w:uiPriority w:val="1"/>
    <w:qFormat/>
    <w:rsid w:val="001E7356"/>
    <w:pPr>
      <w:spacing w:after="0" w:line="240" w:lineRule="auto"/>
    </w:pPr>
  </w:style>
  <w:style w:type="paragraph" w:styleId="Textodeglobo">
    <w:name w:val="Balloon Text"/>
    <w:basedOn w:val="Normal"/>
    <w:link w:val="TextodegloboCar"/>
    <w:uiPriority w:val="99"/>
    <w:semiHidden/>
    <w:unhideWhenUsed/>
    <w:rsid w:val="00776C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C51"/>
    <w:rPr>
      <w:rFonts w:ascii="Segoe UI" w:hAnsi="Segoe UI" w:cs="Segoe UI"/>
      <w:sz w:val="18"/>
      <w:szCs w:val="18"/>
    </w:rPr>
  </w:style>
  <w:style w:type="character" w:styleId="Hipervnculo">
    <w:name w:val="Hyperlink"/>
    <w:basedOn w:val="Fuentedeprrafopredeter"/>
    <w:uiPriority w:val="99"/>
    <w:unhideWhenUsed/>
    <w:rsid w:val="00D36645"/>
    <w:rPr>
      <w:color w:val="0563C1" w:themeColor="hyperlink"/>
      <w:u w:val="single"/>
    </w:rPr>
  </w:style>
  <w:style w:type="paragraph" w:customStyle="1" w:styleId="Default">
    <w:name w:val="Default"/>
    <w:rsid w:val="00A44C20"/>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
    <w:name w:val="Table Grid"/>
    <w:basedOn w:val="Tablanormal"/>
    <w:uiPriority w:val="39"/>
    <w:rsid w:val="00A44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2881"/>
    <w:pPr>
      <w:spacing w:after="0" w:line="240" w:lineRule="auto"/>
    </w:pPr>
  </w:style>
  <w:style w:type="paragraph" w:customStyle="1" w:styleId="Texto">
    <w:name w:val="Texto"/>
    <w:basedOn w:val="Normal"/>
    <w:link w:val="TextoCar"/>
    <w:rsid w:val="005745E4"/>
    <w:pPr>
      <w:spacing w:after="101" w:line="216" w:lineRule="exact"/>
      <w:ind w:firstLine="288"/>
      <w:jc w:val="both"/>
    </w:pPr>
    <w:rPr>
      <w:rFonts w:ascii="Arial" w:eastAsia="Times New Roman" w:hAnsi="Arial" w:cs="Arial"/>
      <w:sz w:val="18"/>
      <w:szCs w:val="20"/>
      <w:lang w:val="es-ES" w:eastAsia="es-ES"/>
    </w:rPr>
  </w:style>
  <w:style w:type="paragraph" w:customStyle="1" w:styleId="ANOTACION">
    <w:name w:val="ANOTACION"/>
    <w:basedOn w:val="Normal"/>
    <w:link w:val="ANOTACIONCar"/>
    <w:rsid w:val="005745E4"/>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TextoCar">
    <w:name w:val="Texto Car"/>
    <w:link w:val="Texto"/>
    <w:locked/>
    <w:rsid w:val="005745E4"/>
    <w:rPr>
      <w:rFonts w:ascii="Arial" w:eastAsia="Times New Roman" w:hAnsi="Arial" w:cs="Arial"/>
      <w:sz w:val="18"/>
      <w:szCs w:val="20"/>
      <w:lang w:val="es-ES" w:eastAsia="es-ES"/>
    </w:rPr>
  </w:style>
  <w:style w:type="character" w:customStyle="1" w:styleId="ANOTACIONCar">
    <w:name w:val="ANOTACION Car"/>
    <w:link w:val="ANOTACION"/>
    <w:locked/>
    <w:rsid w:val="005745E4"/>
    <w:rPr>
      <w:rFonts w:ascii="Times New Roman" w:eastAsia="Times New Roman" w:hAnsi="Times New Roman" w:cs="Times New Roman"/>
      <w:b/>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0520">
      <w:bodyDiv w:val="1"/>
      <w:marLeft w:val="0"/>
      <w:marRight w:val="0"/>
      <w:marTop w:val="0"/>
      <w:marBottom w:val="0"/>
      <w:divBdr>
        <w:top w:val="none" w:sz="0" w:space="0" w:color="auto"/>
        <w:left w:val="none" w:sz="0" w:space="0" w:color="auto"/>
        <w:bottom w:val="none" w:sz="0" w:space="0" w:color="auto"/>
        <w:right w:val="none" w:sz="0" w:space="0" w:color="auto"/>
      </w:divBdr>
    </w:div>
    <w:div w:id="326715963">
      <w:bodyDiv w:val="1"/>
      <w:marLeft w:val="0"/>
      <w:marRight w:val="0"/>
      <w:marTop w:val="0"/>
      <w:marBottom w:val="0"/>
      <w:divBdr>
        <w:top w:val="none" w:sz="0" w:space="0" w:color="auto"/>
        <w:left w:val="none" w:sz="0" w:space="0" w:color="auto"/>
        <w:bottom w:val="none" w:sz="0" w:space="0" w:color="auto"/>
        <w:right w:val="none" w:sz="0" w:space="0" w:color="auto"/>
      </w:divBdr>
    </w:div>
    <w:div w:id="423454056">
      <w:bodyDiv w:val="1"/>
      <w:marLeft w:val="0"/>
      <w:marRight w:val="0"/>
      <w:marTop w:val="0"/>
      <w:marBottom w:val="0"/>
      <w:divBdr>
        <w:top w:val="none" w:sz="0" w:space="0" w:color="auto"/>
        <w:left w:val="none" w:sz="0" w:space="0" w:color="auto"/>
        <w:bottom w:val="none" w:sz="0" w:space="0" w:color="auto"/>
        <w:right w:val="none" w:sz="0" w:space="0" w:color="auto"/>
      </w:divBdr>
    </w:div>
    <w:div w:id="425201098">
      <w:bodyDiv w:val="1"/>
      <w:marLeft w:val="0"/>
      <w:marRight w:val="0"/>
      <w:marTop w:val="0"/>
      <w:marBottom w:val="0"/>
      <w:divBdr>
        <w:top w:val="none" w:sz="0" w:space="0" w:color="auto"/>
        <w:left w:val="none" w:sz="0" w:space="0" w:color="auto"/>
        <w:bottom w:val="none" w:sz="0" w:space="0" w:color="auto"/>
        <w:right w:val="none" w:sz="0" w:space="0" w:color="auto"/>
      </w:divBdr>
    </w:div>
    <w:div w:id="813790233">
      <w:bodyDiv w:val="1"/>
      <w:marLeft w:val="0"/>
      <w:marRight w:val="0"/>
      <w:marTop w:val="0"/>
      <w:marBottom w:val="0"/>
      <w:divBdr>
        <w:top w:val="none" w:sz="0" w:space="0" w:color="auto"/>
        <w:left w:val="none" w:sz="0" w:space="0" w:color="auto"/>
        <w:bottom w:val="none" w:sz="0" w:space="0" w:color="auto"/>
        <w:right w:val="none" w:sz="0" w:space="0" w:color="auto"/>
      </w:divBdr>
    </w:div>
    <w:div w:id="951086415">
      <w:bodyDiv w:val="1"/>
      <w:marLeft w:val="0"/>
      <w:marRight w:val="0"/>
      <w:marTop w:val="0"/>
      <w:marBottom w:val="0"/>
      <w:divBdr>
        <w:top w:val="none" w:sz="0" w:space="0" w:color="auto"/>
        <w:left w:val="none" w:sz="0" w:space="0" w:color="auto"/>
        <w:bottom w:val="none" w:sz="0" w:space="0" w:color="auto"/>
        <w:right w:val="none" w:sz="0" w:space="0" w:color="auto"/>
      </w:divBdr>
    </w:div>
    <w:div w:id="1441409737">
      <w:bodyDiv w:val="1"/>
      <w:marLeft w:val="0"/>
      <w:marRight w:val="0"/>
      <w:marTop w:val="0"/>
      <w:marBottom w:val="0"/>
      <w:divBdr>
        <w:top w:val="none" w:sz="0" w:space="0" w:color="auto"/>
        <w:left w:val="none" w:sz="0" w:space="0" w:color="auto"/>
        <w:bottom w:val="none" w:sz="0" w:space="0" w:color="auto"/>
        <w:right w:val="none" w:sz="0" w:space="0" w:color="auto"/>
      </w:divBdr>
    </w:div>
    <w:div w:id="1608004390">
      <w:bodyDiv w:val="1"/>
      <w:marLeft w:val="0"/>
      <w:marRight w:val="0"/>
      <w:marTop w:val="0"/>
      <w:marBottom w:val="0"/>
      <w:divBdr>
        <w:top w:val="none" w:sz="0" w:space="0" w:color="auto"/>
        <w:left w:val="none" w:sz="0" w:space="0" w:color="auto"/>
        <w:bottom w:val="none" w:sz="0" w:space="0" w:color="auto"/>
        <w:right w:val="none" w:sz="0" w:space="0" w:color="auto"/>
      </w:divBdr>
    </w:div>
    <w:div w:id="1640308784">
      <w:bodyDiv w:val="1"/>
      <w:marLeft w:val="0"/>
      <w:marRight w:val="0"/>
      <w:marTop w:val="0"/>
      <w:marBottom w:val="0"/>
      <w:divBdr>
        <w:top w:val="none" w:sz="0" w:space="0" w:color="auto"/>
        <w:left w:val="none" w:sz="0" w:space="0" w:color="auto"/>
        <w:bottom w:val="none" w:sz="0" w:space="0" w:color="auto"/>
        <w:right w:val="none" w:sz="0" w:space="0" w:color="auto"/>
      </w:divBdr>
    </w:div>
    <w:div w:id="1710569086">
      <w:bodyDiv w:val="1"/>
      <w:marLeft w:val="0"/>
      <w:marRight w:val="0"/>
      <w:marTop w:val="0"/>
      <w:marBottom w:val="0"/>
      <w:divBdr>
        <w:top w:val="none" w:sz="0" w:space="0" w:color="auto"/>
        <w:left w:val="none" w:sz="0" w:space="0" w:color="auto"/>
        <w:bottom w:val="none" w:sz="0" w:space="0" w:color="auto"/>
        <w:right w:val="none" w:sz="0" w:space="0" w:color="auto"/>
      </w:divBdr>
    </w:div>
    <w:div w:id="1862547528">
      <w:bodyDiv w:val="1"/>
      <w:marLeft w:val="0"/>
      <w:marRight w:val="0"/>
      <w:marTop w:val="0"/>
      <w:marBottom w:val="0"/>
      <w:divBdr>
        <w:top w:val="none" w:sz="0" w:space="0" w:color="auto"/>
        <w:left w:val="none" w:sz="0" w:space="0" w:color="auto"/>
        <w:bottom w:val="none" w:sz="0" w:space="0" w:color="auto"/>
        <w:right w:val="none" w:sz="0" w:space="0" w:color="auto"/>
      </w:divBdr>
    </w:div>
    <w:div w:id="214230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9A41-707F-4D41-AA64-024092D92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5</Pages>
  <Words>2410</Words>
  <Characters>13257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Finanzas-CDMX</dc:creator>
  <cp:keywords/>
  <dc:description/>
  <cp:lastModifiedBy>Finanzas CDMX</cp:lastModifiedBy>
  <cp:revision>43</cp:revision>
  <cp:lastPrinted>2025-03-15T00:58:00Z</cp:lastPrinted>
  <dcterms:created xsi:type="dcterms:W3CDTF">2025-06-13T20:26:00Z</dcterms:created>
  <dcterms:modified xsi:type="dcterms:W3CDTF">2026-07-09T18:31:00Z</dcterms:modified>
</cp:coreProperties>
</file>