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854B" w14:textId="77777777" w:rsidR="007C2CE5" w:rsidRPr="00711F12" w:rsidRDefault="007C2CE5" w:rsidP="00733A22">
      <w:pPr>
        <w:spacing w:after="0" w:line="240" w:lineRule="auto"/>
        <w:jc w:val="center"/>
        <w:rPr>
          <w:rFonts w:ascii="Times New Roman" w:eastAsia="Times New Roman" w:hAnsi="Times New Roman" w:cs="Times New Roman"/>
          <w:b/>
          <w:sz w:val="20"/>
          <w:szCs w:val="20"/>
          <w:lang w:val="es-ES" w:eastAsia="es-ES"/>
        </w:rPr>
      </w:pPr>
      <w:r w:rsidRPr="00711F12">
        <w:rPr>
          <w:rFonts w:ascii="Times New Roman" w:eastAsia="Times New Roman" w:hAnsi="Times New Roman" w:cs="Times New Roman"/>
          <w:b/>
          <w:sz w:val="20"/>
          <w:szCs w:val="20"/>
          <w:lang w:val="es-ES" w:eastAsia="es-ES"/>
        </w:rPr>
        <w:t>SECRETARÍA DE ADMINISTRACIÓN Y FINANZAS</w:t>
      </w:r>
    </w:p>
    <w:p w14:paraId="5B727486" w14:textId="77777777" w:rsidR="007C2CE5" w:rsidRPr="00711F12" w:rsidRDefault="007C2CE5" w:rsidP="00733A22">
      <w:pPr>
        <w:spacing w:after="0" w:line="240" w:lineRule="auto"/>
        <w:jc w:val="both"/>
        <w:rPr>
          <w:rFonts w:ascii="Times New Roman" w:hAnsi="Times New Roman" w:cs="Times New Roman"/>
          <w:sz w:val="20"/>
          <w:szCs w:val="20"/>
        </w:rPr>
      </w:pPr>
    </w:p>
    <w:p w14:paraId="50ED1032" w14:textId="47CBFF0E" w:rsidR="007C2CE5" w:rsidRPr="009032F2" w:rsidRDefault="007C2CE5" w:rsidP="00733A22">
      <w:pPr>
        <w:spacing w:after="0" w:line="240" w:lineRule="auto"/>
        <w:jc w:val="both"/>
        <w:rPr>
          <w:rFonts w:ascii="Times New Roman" w:eastAsia="Times New Roman" w:hAnsi="Times New Roman" w:cs="Times New Roman"/>
          <w:sz w:val="20"/>
          <w:szCs w:val="20"/>
          <w:lang w:val="es-ES" w:eastAsia="es-ES"/>
        </w:rPr>
      </w:pPr>
      <w:r w:rsidRPr="00711F12">
        <w:rPr>
          <w:rFonts w:ascii="Times New Roman" w:eastAsia="Times New Roman" w:hAnsi="Times New Roman" w:cs="Times New Roman"/>
          <w:sz w:val="20"/>
          <w:szCs w:val="20"/>
          <w:lang w:val="es-ES" w:eastAsia="es-ES"/>
        </w:rPr>
        <w:t xml:space="preserve">Act. María del Carmen Moreno Ramírez, Directora General de Armonización Contable y Rendición de Cuentas y Secretaria Técnica del Consejo de Armonización Contable de la Ciudad de México, con fundamento en los Artículos 7 y 10 Bis de la Ley General de Contabilidad Gubernamental; Artículo 16 fracción II de la Ley Orgánica del Poder Ejecutivo y de la Administración Pública de la Ciudad de México; Artículo 7 fracción II, inciso A), numeral 1 y Artículo 71 fracción V del Reglamento Interior del Poder Ejecutivo y de la Administración Pública de la Ciudad de México; Regla 12 fracción XIII de las Reglas de Operación del Consejo de Armonización Contable de la Ciudad de México “CONSAC-CDMX” y </w:t>
      </w:r>
      <w:r w:rsidR="00CA3E3C" w:rsidRPr="00711F12">
        <w:rPr>
          <w:rFonts w:ascii="Times New Roman" w:eastAsia="Times New Roman" w:hAnsi="Times New Roman" w:cs="Times New Roman"/>
          <w:sz w:val="20"/>
          <w:szCs w:val="20"/>
          <w:lang w:val="es-ES" w:eastAsia="es-ES"/>
        </w:rPr>
        <w:t xml:space="preserve">a las </w:t>
      </w:r>
      <w:r w:rsidR="00CA3E3C" w:rsidRPr="009032F2">
        <w:rPr>
          <w:rFonts w:ascii="Times New Roman" w:eastAsia="Times New Roman" w:hAnsi="Times New Roman" w:cs="Times New Roman"/>
          <w:sz w:val="20"/>
          <w:szCs w:val="20"/>
          <w:lang w:val="es-ES" w:eastAsia="es-ES"/>
        </w:rPr>
        <w:t>Reformas a Diversos Documentos Aprobados por el CONAC</w:t>
      </w:r>
      <w:r w:rsidR="00B145E8" w:rsidRPr="009032F2">
        <w:rPr>
          <w:rFonts w:ascii="Times New Roman" w:eastAsia="Times New Roman" w:hAnsi="Times New Roman" w:cs="Times New Roman"/>
          <w:bCs/>
          <w:sz w:val="20"/>
          <w:szCs w:val="20"/>
          <w:lang w:val="es-ES_tradnl" w:eastAsia="es-ES"/>
        </w:rPr>
        <w:t xml:space="preserve"> </w:t>
      </w:r>
      <w:r w:rsidRPr="009032F2">
        <w:rPr>
          <w:rFonts w:ascii="Times New Roman" w:eastAsia="Times New Roman" w:hAnsi="Times New Roman" w:cs="Times New Roman"/>
          <w:sz w:val="20"/>
          <w:szCs w:val="20"/>
          <w:lang w:val="es-ES" w:eastAsia="es-ES"/>
        </w:rPr>
        <w:t xml:space="preserve">en su Transitorio </w:t>
      </w:r>
      <w:r w:rsidR="00B145E8" w:rsidRPr="009032F2">
        <w:rPr>
          <w:rFonts w:ascii="Times New Roman" w:eastAsia="Times New Roman" w:hAnsi="Times New Roman" w:cs="Times New Roman"/>
          <w:sz w:val="20"/>
          <w:szCs w:val="20"/>
          <w:lang w:val="es-ES" w:eastAsia="es-ES"/>
        </w:rPr>
        <w:t>segundo</w:t>
      </w:r>
      <w:r w:rsidRPr="009032F2">
        <w:rPr>
          <w:rFonts w:ascii="Times New Roman" w:eastAsia="Times New Roman" w:hAnsi="Times New Roman" w:cs="Times New Roman"/>
          <w:sz w:val="20"/>
          <w:szCs w:val="20"/>
          <w:lang w:val="es-ES" w:eastAsia="es-ES"/>
        </w:rPr>
        <w:t>, publicado el 1</w:t>
      </w:r>
      <w:r w:rsidR="00FF44AF" w:rsidRPr="009032F2">
        <w:rPr>
          <w:rFonts w:ascii="Times New Roman" w:eastAsia="Times New Roman" w:hAnsi="Times New Roman" w:cs="Times New Roman"/>
          <w:sz w:val="20"/>
          <w:szCs w:val="20"/>
          <w:lang w:val="es-ES" w:eastAsia="es-ES"/>
        </w:rPr>
        <w:t>0</w:t>
      </w:r>
      <w:r w:rsidRPr="009032F2">
        <w:rPr>
          <w:rFonts w:ascii="Times New Roman" w:eastAsia="Times New Roman" w:hAnsi="Times New Roman" w:cs="Times New Roman"/>
          <w:sz w:val="20"/>
          <w:szCs w:val="20"/>
          <w:lang w:val="es-ES" w:eastAsia="es-ES"/>
        </w:rPr>
        <w:t xml:space="preserve"> de </w:t>
      </w:r>
      <w:r w:rsidR="00FF44AF" w:rsidRPr="009032F2">
        <w:rPr>
          <w:rFonts w:ascii="Times New Roman" w:eastAsia="Times New Roman" w:hAnsi="Times New Roman" w:cs="Times New Roman"/>
          <w:sz w:val="20"/>
          <w:szCs w:val="20"/>
          <w:lang w:val="es-ES" w:eastAsia="es-ES"/>
        </w:rPr>
        <w:t xml:space="preserve">diciembre </w:t>
      </w:r>
      <w:r w:rsidRPr="009032F2">
        <w:rPr>
          <w:rFonts w:ascii="Times New Roman" w:eastAsia="Times New Roman" w:hAnsi="Times New Roman" w:cs="Times New Roman"/>
          <w:sz w:val="20"/>
          <w:szCs w:val="20"/>
          <w:lang w:val="es-ES" w:eastAsia="es-ES"/>
        </w:rPr>
        <w:t>del 202</w:t>
      </w:r>
      <w:r w:rsidR="00B145E8" w:rsidRPr="009032F2">
        <w:rPr>
          <w:rFonts w:ascii="Times New Roman" w:eastAsia="Times New Roman" w:hAnsi="Times New Roman" w:cs="Times New Roman"/>
          <w:sz w:val="20"/>
          <w:szCs w:val="20"/>
          <w:lang w:val="es-ES" w:eastAsia="es-ES"/>
        </w:rPr>
        <w:t>5</w:t>
      </w:r>
      <w:r w:rsidRPr="009032F2">
        <w:rPr>
          <w:rFonts w:ascii="Times New Roman" w:eastAsia="Times New Roman" w:hAnsi="Times New Roman" w:cs="Times New Roman"/>
          <w:sz w:val="20"/>
          <w:szCs w:val="20"/>
          <w:lang w:val="es-ES" w:eastAsia="es-ES"/>
        </w:rPr>
        <w:t xml:space="preserve"> en el Diario Oficial de la Federación, emito el siguiente:</w:t>
      </w:r>
    </w:p>
    <w:p w14:paraId="72980C36" w14:textId="303E5BDE" w:rsidR="000177AA" w:rsidRPr="009032F2" w:rsidRDefault="000177AA" w:rsidP="00733A22">
      <w:pPr>
        <w:spacing w:after="0" w:line="240" w:lineRule="auto"/>
        <w:jc w:val="both"/>
        <w:rPr>
          <w:rFonts w:ascii="Times New Roman" w:hAnsi="Times New Roman" w:cs="Times New Roman"/>
          <w:sz w:val="20"/>
          <w:szCs w:val="20"/>
        </w:rPr>
      </w:pPr>
    </w:p>
    <w:p w14:paraId="4572EE96" w14:textId="29D940DD" w:rsidR="005745E4" w:rsidRPr="00711F12" w:rsidRDefault="00292D6B" w:rsidP="00733A22">
      <w:pPr>
        <w:spacing w:after="0" w:line="240" w:lineRule="auto"/>
        <w:jc w:val="center"/>
        <w:rPr>
          <w:rFonts w:ascii="Times New Roman" w:hAnsi="Times New Roman" w:cs="Times New Roman"/>
          <w:b/>
          <w:sz w:val="20"/>
          <w:szCs w:val="20"/>
        </w:rPr>
      </w:pPr>
      <w:bookmarkStart w:id="0" w:name="_Hlk172016789"/>
      <w:r w:rsidRPr="009032F2">
        <w:rPr>
          <w:rFonts w:ascii="Times New Roman" w:hAnsi="Times New Roman" w:cs="Times New Roman"/>
          <w:b/>
          <w:sz w:val="20"/>
          <w:szCs w:val="20"/>
        </w:rPr>
        <w:t>Aviso por el cual se da a conocer las Reformas a Diversos Documentos Aprobados por el CONAC</w:t>
      </w:r>
    </w:p>
    <w:p w14:paraId="5B1D69C2" w14:textId="77777777" w:rsidR="00292D6B" w:rsidRPr="00711F12" w:rsidRDefault="00292D6B" w:rsidP="00733A22">
      <w:pPr>
        <w:spacing w:after="0" w:line="240" w:lineRule="auto"/>
        <w:rPr>
          <w:rFonts w:ascii="Times New Roman" w:hAnsi="Times New Roman" w:cs="Times New Roman"/>
          <w:b/>
          <w:sz w:val="20"/>
          <w:szCs w:val="20"/>
        </w:rPr>
      </w:pPr>
    </w:p>
    <w:p w14:paraId="40394E39" w14:textId="77777777" w:rsidR="00C06C6A" w:rsidRPr="00711F12" w:rsidRDefault="00C06C6A" w:rsidP="00733A22">
      <w:pPr>
        <w:spacing w:after="0" w:line="240" w:lineRule="auto"/>
        <w:jc w:val="center"/>
        <w:rPr>
          <w:rFonts w:ascii="Times New Roman" w:hAnsi="Times New Roman" w:cs="Times New Roman"/>
          <w:b/>
          <w:sz w:val="20"/>
          <w:szCs w:val="20"/>
          <w:lang w:val="es-ES"/>
        </w:rPr>
      </w:pPr>
      <w:r w:rsidRPr="00711F12">
        <w:rPr>
          <w:rFonts w:ascii="Times New Roman" w:hAnsi="Times New Roman" w:cs="Times New Roman"/>
          <w:b/>
          <w:sz w:val="20"/>
          <w:szCs w:val="20"/>
        </w:rPr>
        <w:t>Considerando</w:t>
      </w:r>
    </w:p>
    <w:bookmarkEnd w:id="0"/>
    <w:p w14:paraId="717ABBF8"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0C89FC14" w14:textId="77777777" w:rsidR="00C06C6A" w:rsidRPr="00711F12" w:rsidRDefault="00C06C6A" w:rsidP="00733A22">
      <w:pPr>
        <w:spacing w:after="0" w:line="240" w:lineRule="auto"/>
        <w:jc w:val="both"/>
        <w:rPr>
          <w:rFonts w:ascii="Times New Roman" w:hAnsi="Times New Roman" w:cs="Times New Roman"/>
          <w:sz w:val="20"/>
          <w:szCs w:val="20"/>
          <w:lang w:val="es-ES"/>
        </w:rPr>
      </w:pPr>
      <w:r w:rsidRPr="00711F12">
        <w:rPr>
          <w:rFonts w:ascii="Times New Roman" w:hAnsi="Times New Roman" w:cs="Times New Roman"/>
          <w:sz w:val="20"/>
          <w:szCs w:val="20"/>
          <w:lang w:val="es-ES"/>
        </w:rPr>
        <w:t>Que el 31 de diciembre de 2008 fue publicada en el Diario Oficial de la Federación la Ley General de Contabilidad Gubernamental (LGCG), que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24983CCC"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7F61140E" w14:textId="77777777" w:rsidR="00C06C6A" w:rsidRPr="00711F12" w:rsidRDefault="00C06C6A" w:rsidP="00733A22">
      <w:pPr>
        <w:spacing w:after="0" w:line="240" w:lineRule="auto"/>
        <w:jc w:val="both"/>
        <w:rPr>
          <w:rFonts w:ascii="Times New Roman" w:hAnsi="Times New Roman" w:cs="Times New Roman"/>
          <w:sz w:val="20"/>
          <w:szCs w:val="20"/>
          <w:lang w:val="es-ES"/>
        </w:rPr>
      </w:pPr>
      <w:r w:rsidRPr="00711F12">
        <w:rPr>
          <w:rFonts w:ascii="Times New Roman" w:hAnsi="Times New Roman" w:cs="Times New Roman"/>
          <w:sz w:val="20"/>
          <w:szCs w:val="20"/>
          <w:lang w:val="es-ES"/>
        </w:rPr>
        <w:t>Que el artículo 43 de la LGCG establece que los entes públicos estarán obligados a conservar y poner a disposición de las autoridades competentes los documentos, comprobatorios y justificativos, así como los libros principales de contabilidad, de conformidad con los lineamientos que para tal efecto establezca el CONAC.</w:t>
      </w:r>
    </w:p>
    <w:p w14:paraId="4A4B54E5"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07AFAF54" w14:textId="26FD8F0D" w:rsidR="00C06C6A" w:rsidRPr="00711F12" w:rsidRDefault="00C06C6A" w:rsidP="00733A22">
      <w:pPr>
        <w:spacing w:after="0" w:line="240" w:lineRule="auto"/>
        <w:jc w:val="both"/>
        <w:rPr>
          <w:rFonts w:ascii="Times New Roman" w:hAnsi="Times New Roman" w:cs="Times New Roman"/>
          <w:b/>
          <w:sz w:val="20"/>
          <w:szCs w:val="20"/>
        </w:rPr>
      </w:pPr>
      <w:r w:rsidRPr="00711F12">
        <w:rPr>
          <w:rFonts w:ascii="Times New Roman" w:hAnsi="Times New Roman" w:cs="Times New Roman"/>
          <w:sz w:val="20"/>
          <w:szCs w:val="20"/>
          <w:lang w:val="es-ES"/>
        </w:rPr>
        <w:t>Que el Consejo Nacional de Armonización Contable publicó en el Diario Oficial de la Federación el 1</w:t>
      </w:r>
      <w:r w:rsidR="00FF44AF" w:rsidRPr="00711F12">
        <w:rPr>
          <w:rFonts w:ascii="Times New Roman" w:hAnsi="Times New Roman" w:cs="Times New Roman"/>
          <w:sz w:val="20"/>
          <w:szCs w:val="20"/>
          <w:lang w:val="es-ES"/>
        </w:rPr>
        <w:t>0</w:t>
      </w:r>
      <w:r w:rsidRPr="00711F12">
        <w:rPr>
          <w:rFonts w:ascii="Times New Roman" w:hAnsi="Times New Roman" w:cs="Times New Roman"/>
          <w:sz w:val="20"/>
          <w:szCs w:val="20"/>
          <w:lang w:val="es-ES"/>
        </w:rPr>
        <w:t xml:space="preserve"> de </w:t>
      </w:r>
      <w:r w:rsidR="00FF44AF" w:rsidRPr="00711F12">
        <w:rPr>
          <w:rFonts w:ascii="Times New Roman" w:hAnsi="Times New Roman" w:cs="Times New Roman"/>
          <w:sz w:val="20"/>
          <w:szCs w:val="20"/>
          <w:lang w:val="es-ES"/>
        </w:rPr>
        <w:t xml:space="preserve">diciembre </w:t>
      </w:r>
      <w:r w:rsidRPr="00711F12">
        <w:rPr>
          <w:rFonts w:ascii="Times New Roman" w:hAnsi="Times New Roman" w:cs="Times New Roman"/>
          <w:sz w:val="20"/>
          <w:szCs w:val="20"/>
          <w:lang w:val="es-ES"/>
        </w:rPr>
        <w:t>del 202</w:t>
      </w:r>
      <w:r w:rsidR="00B564E4" w:rsidRPr="00711F12">
        <w:rPr>
          <w:rFonts w:ascii="Times New Roman" w:hAnsi="Times New Roman" w:cs="Times New Roman"/>
          <w:sz w:val="20"/>
          <w:szCs w:val="20"/>
          <w:lang w:val="es-ES"/>
        </w:rPr>
        <w:t>5</w:t>
      </w:r>
      <w:r w:rsidRPr="00711F12">
        <w:rPr>
          <w:rFonts w:ascii="Times New Roman" w:hAnsi="Times New Roman" w:cs="Times New Roman"/>
          <w:sz w:val="20"/>
          <w:szCs w:val="20"/>
          <w:lang w:val="es-ES"/>
        </w:rPr>
        <w:t xml:space="preserve">, </w:t>
      </w:r>
      <w:r w:rsidR="00CA3E3C" w:rsidRPr="00711F12">
        <w:rPr>
          <w:rFonts w:ascii="Times New Roman" w:hAnsi="Times New Roman" w:cs="Times New Roman"/>
          <w:sz w:val="20"/>
          <w:szCs w:val="20"/>
          <w:lang w:val="es-ES"/>
        </w:rPr>
        <w:t>las Reformas a Diversos Documentos Aprobados por el CONAC</w:t>
      </w:r>
      <w:r w:rsidRPr="00711F12">
        <w:rPr>
          <w:rFonts w:ascii="Times New Roman" w:hAnsi="Times New Roman" w:cs="Times New Roman"/>
          <w:bCs/>
          <w:sz w:val="20"/>
          <w:szCs w:val="20"/>
          <w:lang w:val="es-ES"/>
        </w:rPr>
        <w:t>, el cual tengo a bien</w:t>
      </w:r>
      <w:r w:rsidRPr="00711F12">
        <w:rPr>
          <w:rFonts w:ascii="Times New Roman" w:hAnsi="Times New Roman" w:cs="Times New Roman"/>
          <w:sz w:val="20"/>
          <w:szCs w:val="20"/>
          <w:lang w:val="es-ES"/>
        </w:rPr>
        <w:t xml:space="preserve"> transcribir como a continuación se observa:</w:t>
      </w:r>
    </w:p>
    <w:p w14:paraId="7FFA695C" w14:textId="77777777" w:rsidR="00C06C6A" w:rsidRPr="00711F12" w:rsidRDefault="00C06C6A" w:rsidP="00733A22">
      <w:pPr>
        <w:spacing w:after="0" w:line="240" w:lineRule="auto"/>
        <w:jc w:val="both"/>
        <w:rPr>
          <w:rFonts w:ascii="Times New Roman" w:hAnsi="Times New Roman" w:cs="Times New Roman"/>
          <w:sz w:val="20"/>
          <w:szCs w:val="20"/>
        </w:rPr>
      </w:pPr>
    </w:p>
    <w:p w14:paraId="2BCB7500" w14:textId="77777777" w:rsidR="00292D6B" w:rsidRPr="00711F12" w:rsidRDefault="00292D6B" w:rsidP="00733A22">
      <w:pPr>
        <w:spacing w:after="0" w:line="240" w:lineRule="auto"/>
        <w:jc w:val="center"/>
        <w:rPr>
          <w:rFonts w:ascii="Times New Roman" w:hAnsi="Times New Roman" w:cs="Times New Roman"/>
          <w:b/>
          <w:sz w:val="20"/>
          <w:szCs w:val="20"/>
          <w:lang w:val="es-ES_tradnl"/>
        </w:rPr>
      </w:pPr>
      <w:r w:rsidRPr="009032F2">
        <w:rPr>
          <w:rFonts w:ascii="Times New Roman" w:hAnsi="Times New Roman" w:cs="Times New Roman"/>
          <w:b/>
          <w:sz w:val="20"/>
          <w:szCs w:val="20"/>
        </w:rPr>
        <w:t>Reformas a Diversos Documentos Aprobados por el CONAC</w:t>
      </w:r>
      <w:r w:rsidRPr="00711F12">
        <w:rPr>
          <w:rFonts w:ascii="Times New Roman" w:hAnsi="Times New Roman" w:cs="Times New Roman"/>
          <w:b/>
          <w:sz w:val="20"/>
          <w:szCs w:val="20"/>
          <w:lang w:val="es-ES_tradnl"/>
        </w:rPr>
        <w:t xml:space="preserve"> </w:t>
      </w:r>
    </w:p>
    <w:p w14:paraId="39A981BA" w14:textId="77777777" w:rsidR="00292D6B" w:rsidRPr="00711F12" w:rsidRDefault="00292D6B" w:rsidP="00733A22">
      <w:pPr>
        <w:spacing w:after="0" w:line="240" w:lineRule="auto"/>
        <w:rPr>
          <w:rFonts w:ascii="Times New Roman" w:hAnsi="Times New Roman" w:cs="Times New Roman"/>
          <w:b/>
          <w:sz w:val="20"/>
          <w:szCs w:val="20"/>
          <w:lang w:val="es-ES_tradnl"/>
        </w:rPr>
      </w:pPr>
    </w:p>
    <w:p w14:paraId="28BDB13D" w14:textId="37545765" w:rsidR="000C3239" w:rsidRPr="00711F12" w:rsidRDefault="000C3239" w:rsidP="00733A22">
      <w:pPr>
        <w:spacing w:after="0" w:line="240" w:lineRule="auto"/>
        <w:jc w:val="center"/>
        <w:rPr>
          <w:rFonts w:ascii="Times New Roman" w:hAnsi="Times New Roman" w:cs="Times New Roman"/>
          <w:b/>
          <w:sz w:val="20"/>
          <w:szCs w:val="20"/>
          <w:lang w:val="es-ES_tradnl"/>
        </w:rPr>
      </w:pPr>
      <w:r w:rsidRPr="00711F12">
        <w:rPr>
          <w:rFonts w:ascii="Times New Roman" w:hAnsi="Times New Roman" w:cs="Times New Roman"/>
          <w:b/>
          <w:sz w:val="20"/>
          <w:szCs w:val="20"/>
          <w:lang w:val="es-ES_tradnl"/>
        </w:rPr>
        <w:t>C</w:t>
      </w:r>
      <w:r w:rsidR="005D042E" w:rsidRPr="00711F12">
        <w:rPr>
          <w:rFonts w:ascii="Times New Roman" w:hAnsi="Times New Roman" w:cs="Times New Roman"/>
          <w:b/>
          <w:sz w:val="20"/>
          <w:szCs w:val="20"/>
          <w:lang w:val="es-ES_tradnl"/>
        </w:rPr>
        <w:t>ONSIDERANDO</w:t>
      </w:r>
    </w:p>
    <w:p w14:paraId="03E686DC" w14:textId="77777777" w:rsidR="005D042E" w:rsidRPr="00711F12" w:rsidRDefault="005D042E" w:rsidP="00733A22">
      <w:pPr>
        <w:spacing w:after="0" w:line="240" w:lineRule="auto"/>
        <w:rPr>
          <w:rFonts w:ascii="Times New Roman" w:hAnsi="Times New Roman" w:cs="Times New Roman"/>
          <w:b/>
          <w:sz w:val="20"/>
          <w:szCs w:val="20"/>
          <w:lang w:val="es-ES_tradnl"/>
        </w:rPr>
      </w:pPr>
    </w:p>
    <w:p w14:paraId="78239389" w14:textId="1EBDC5BB" w:rsidR="00CA3E3C" w:rsidRPr="00711F12" w:rsidRDefault="00CA3E3C" w:rsidP="00733A22">
      <w:pPr>
        <w:pStyle w:val="Texto"/>
        <w:spacing w:after="0" w:line="240" w:lineRule="auto"/>
        <w:ind w:firstLine="0"/>
        <w:rPr>
          <w:rFonts w:ascii="Times New Roman" w:hAnsi="Times New Roman" w:cs="Times New Roman"/>
          <w:sz w:val="20"/>
          <w:lang w:val="es-ES_tradnl"/>
        </w:rPr>
      </w:pPr>
      <w:r w:rsidRPr="00711F12">
        <w:rPr>
          <w:rFonts w:ascii="Times New Roman" w:hAnsi="Times New Roman" w:cs="Times New Roman"/>
          <w:sz w:val="20"/>
          <w:lang w:val="es-ES_tradnl"/>
        </w:rPr>
        <w:t>Que el 31 de diciembre de 2008 fue publicada en el Diario Oficial de la Federación la Ley General de Contabilidad Gubernamental (LGCG), que tiene como objeto establecer los criterios generales que regirán la Contabilidad Gubernamental y la emisión de información financiera de los entes públicos, con el fin de lograr su adecuada armonización, para facilitar el registro y la fiscalización de los activos, pasivos, ingresos y gastos y, en general, contribuir a medir la eficacia, economía y eficiencia del gasto e ingreso públicos.</w:t>
      </w:r>
    </w:p>
    <w:p w14:paraId="71575F16" w14:textId="77777777" w:rsidR="00CA3E3C" w:rsidRPr="00711F12" w:rsidRDefault="00CA3E3C" w:rsidP="00733A22">
      <w:pPr>
        <w:pStyle w:val="Texto"/>
        <w:spacing w:after="0" w:line="240" w:lineRule="auto"/>
        <w:ind w:firstLine="0"/>
        <w:rPr>
          <w:rFonts w:ascii="Times New Roman" w:hAnsi="Times New Roman" w:cs="Times New Roman"/>
          <w:sz w:val="20"/>
          <w:lang w:val="es-ES_tradnl"/>
        </w:rPr>
      </w:pPr>
    </w:p>
    <w:p w14:paraId="07DFE0E4" w14:textId="77777777" w:rsidR="00CA3E3C" w:rsidRPr="00711F12" w:rsidRDefault="00CA3E3C" w:rsidP="00733A22">
      <w:pPr>
        <w:pStyle w:val="Texto"/>
        <w:spacing w:after="0" w:line="240" w:lineRule="auto"/>
        <w:ind w:firstLine="0"/>
        <w:rPr>
          <w:rFonts w:ascii="Times New Roman" w:hAnsi="Times New Roman" w:cs="Times New Roman"/>
          <w:sz w:val="20"/>
          <w:lang w:val="es-ES_tradnl"/>
        </w:rPr>
      </w:pPr>
      <w:r w:rsidRPr="00711F12">
        <w:rPr>
          <w:rFonts w:ascii="Times New Roman" w:hAnsi="Times New Roman" w:cs="Times New Roman"/>
          <w:sz w:val="20"/>
          <w:lang w:val="es-ES_tradnl"/>
        </w:rPr>
        <w:t>Que en este marco y en cumplimiento de sus funciones, el Consejo Nacional de Armonización Contable (CONAC) publicó en el Diario Oficial de la Federación el 3 de abril de 2013, la Norma para armonizar la presentación de la información adicional a la iniciativa de la Ley de Ingresos.</w:t>
      </w:r>
    </w:p>
    <w:p w14:paraId="3A8EA84A" w14:textId="77777777" w:rsidR="00CA3E3C" w:rsidRPr="00711F12" w:rsidRDefault="00CA3E3C" w:rsidP="00733A22">
      <w:pPr>
        <w:pStyle w:val="Texto"/>
        <w:spacing w:after="0" w:line="240" w:lineRule="auto"/>
        <w:ind w:firstLine="0"/>
        <w:rPr>
          <w:rFonts w:ascii="Times New Roman" w:hAnsi="Times New Roman" w:cs="Times New Roman"/>
          <w:sz w:val="20"/>
          <w:lang w:val="es-ES_tradnl"/>
        </w:rPr>
      </w:pPr>
    </w:p>
    <w:p w14:paraId="32C33085" w14:textId="3FE7CC1F" w:rsidR="00CA3E3C" w:rsidRPr="00711F12" w:rsidRDefault="00CA3E3C" w:rsidP="00733A22">
      <w:pPr>
        <w:pStyle w:val="Texto"/>
        <w:spacing w:after="0" w:line="240" w:lineRule="auto"/>
        <w:ind w:firstLine="0"/>
        <w:rPr>
          <w:rFonts w:ascii="Times New Roman" w:hAnsi="Times New Roman" w:cs="Times New Roman"/>
          <w:sz w:val="20"/>
          <w:lang w:val="es-ES_tradnl"/>
        </w:rPr>
      </w:pPr>
      <w:r w:rsidRPr="00711F12">
        <w:rPr>
          <w:rFonts w:ascii="Times New Roman" w:hAnsi="Times New Roman" w:cs="Times New Roman"/>
          <w:sz w:val="20"/>
          <w:lang w:val="es-ES_tradnl"/>
        </w:rPr>
        <w:t xml:space="preserve">Que conforme a las reformas a los artículos 25, 27 y 28 de la Constitución Política de los Estados Unidos Mexicanos, publicada en el Diario Oficial de la Federación el 31 de octubre de 2024, que modifican la naturaleza jurídica de las Empresas Productivas del Estado por Empresas Públicas del Estado; así como al </w:t>
      </w:r>
      <w:r w:rsidRPr="00711F12">
        <w:rPr>
          <w:rFonts w:ascii="Times New Roman" w:hAnsi="Times New Roman" w:cs="Times New Roman"/>
          <w:color w:val="000000"/>
          <w:sz w:val="20"/>
        </w:rPr>
        <w:t>Acuerdo por el que se reforma el Manual de Contabilidad Gubernamental, publicado en el Diario Oficial de la Federación el 13 de diciembre de 2024,</w:t>
      </w:r>
      <w:r w:rsidRPr="00711F12">
        <w:rPr>
          <w:rFonts w:ascii="Times New Roman" w:hAnsi="Times New Roman" w:cs="Times New Roman"/>
          <w:sz w:val="20"/>
          <w:lang w:val="es-ES_tradnl"/>
        </w:rPr>
        <w:t xml:space="preserve"> mediante el cual se modifica el nombre del rubro 3.2.1 Resultados del Ejercicio (Ahorro/Desahorro) a 3.2.1 Resultado del Ejercicio (Ahorro/Desahorro); y al Acuerdo por el que se emiten las Reglas de Registro y Valuación del Patrimonio, publicado en el Diario Oficial de la Federación el 11 de diciembre de 2023 mediante el cual se unifican las Principales Reglas de </w:t>
      </w:r>
      <w:bookmarkStart w:id="1" w:name="N_Hlk202892502"/>
      <w:r w:rsidRPr="00711F12">
        <w:rPr>
          <w:rFonts w:ascii="Times New Roman" w:hAnsi="Times New Roman" w:cs="Times New Roman"/>
          <w:sz w:val="20"/>
          <w:lang w:val="es-ES_tradnl"/>
        </w:rPr>
        <w:t>Registro y Valoración del Patrimonio (Elementos Generales) y las Reglas Específicas del Registro y Valoración del Patrimonio</w:t>
      </w:r>
      <w:bookmarkEnd w:id="1"/>
      <w:r w:rsidRPr="00711F12">
        <w:rPr>
          <w:rFonts w:ascii="Times New Roman" w:hAnsi="Times New Roman" w:cs="Times New Roman"/>
          <w:sz w:val="20"/>
          <w:lang w:val="es-ES_tradnl"/>
        </w:rPr>
        <w:t>, es necesario efectuar las adecuaciones correspondientes a los documentos normativos emitidos por el Consejo Nacional de Armonización Contable (CONAC).</w:t>
      </w:r>
    </w:p>
    <w:p w14:paraId="44070ABA" w14:textId="77777777" w:rsidR="00CA3E3C" w:rsidRPr="00711F12" w:rsidRDefault="00CA3E3C" w:rsidP="00733A22">
      <w:pPr>
        <w:pStyle w:val="Texto"/>
        <w:spacing w:after="0" w:line="240" w:lineRule="auto"/>
        <w:ind w:firstLine="0"/>
        <w:rPr>
          <w:rFonts w:ascii="Times New Roman" w:hAnsi="Times New Roman" w:cs="Times New Roman"/>
          <w:sz w:val="20"/>
          <w:lang w:val="es-ES_tradnl"/>
        </w:rPr>
      </w:pPr>
    </w:p>
    <w:p w14:paraId="6231CC6D" w14:textId="77777777" w:rsidR="00800F70" w:rsidRPr="00711F12" w:rsidRDefault="00800F70" w:rsidP="00733A22">
      <w:pPr>
        <w:spacing w:after="0"/>
        <w:rPr>
          <w:rFonts w:ascii="Times New Roman" w:eastAsia="Times New Roman" w:hAnsi="Times New Roman" w:cs="Times New Roman"/>
          <w:sz w:val="20"/>
          <w:szCs w:val="20"/>
          <w:lang w:val="es-ES_tradnl" w:eastAsia="es-ES"/>
        </w:rPr>
      </w:pPr>
      <w:r w:rsidRPr="00711F12">
        <w:rPr>
          <w:rFonts w:ascii="Times New Roman" w:hAnsi="Times New Roman" w:cs="Times New Roman"/>
          <w:sz w:val="20"/>
          <w:lang w:val="es-ES_tradnl"/>
        </w:rPr>
        <w:br w:type="page"/>
      </w:r>
    </w:p>
    <w:p w14:paraId="05291FCF" w14:textId="180A6783" w:rsidR="00CA3E3C" w:rsidRPr="00711F12" w:rsidRDefault="00CA3E3C" w:rsidP="00733A22">
      <w:pPr>
        <w:pStyle w:val="Texto"/>
        <w:spacing w:after="0" w:line="240" w:lineRule="auto"/>
        <w:ind w:firstLine="0"/>
        <w:rPr>
          <w:rFonts w:ascii="Times New Roman" w:hAnsi="Times New Roman" w:cs="Times New Roman"/>
          <w:sz w:val="20"/>
          <w:lang w:val="es-ES_tradnl"/>
        </w:rPr>
      </w:pPr>
      <w:r w:rsidRPr="00711F12">
        <w:rPr>
          <w:rFonts w:ascii="Times New Roman" w:hAnsi="Times New Roman" w:cs="Times New Roman"/>
          <w:sz w:val="20"/>
          <w:lang w:val="es-ES_tradnl"/>
        </w:rPr>
        <w:lastRenderedPageBreak/>
        <w:t>Por lo anterior, el Consejo Nacional de Armonización Contable aprobó las siguientes:</w:t>
      </w:r>
    </w:p>
    <w:p w14:paraId="2C8B68F8"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15B5F23D" w14:textId="1942A39C" w:rsidR="00CA3E3C" w:rsidRPr="00711F12" w:rsidRDefault="00CA3E3C" w:rsidP="00733A22">
      <w:pPr>
        <w:pStyle w:val="Texto"/>
        <w:spacing w:after="0" w:line="240" w:lineRule="auto"/>
        <w:ind w:firstLine="0"/>
        <w:jc w:val="center"/>
        <w:rPr>
          <w:rFonts w:ascii="Times New Roman" w:hAnsi="Times New Roman" w:cs="Times New Roman"/>
          <w:b/>
          <w:sz w:val="20"/>
        </w:rPr>
      </w:pPr>
      <w:r w:rsidRPr="00711F12">
        <w:rPr>
          <w:rFonts w:ascii="Times New Roman" w:hAnsi="Times New Roman" w:cs="Times New Roman"/>
          <w:b/>
          <w:sz w:val="20"/>
        </w:rPr>
        <w:t>Reformas a Diversos Documentos Aprobados por el CONAC</w:t>
      </w:r>
    </w:p>
    <w:p w14:paraId="66803C31"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001ABDD2" w14:textId="2B96F0FA"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PRIMERO.-</w:t>
      </w:r>
      <w:r w:rsidRPr="00711F12">
        <w:rPr>
          <w:rFonts w:ascii="Times New Roman" w:hAnsi="Times New Roman" w:cs="Times New Roman"/>
          <w:sz w:val="20"/>
        </w:rPr>
        <w:t xml:space="preserve"> Se reforma el Manual de Contabilidad Gubernamental, en las disposiciones que hacen referencia a las Empresas Públicas del Estado; al rubro 3.2.1 Resultado del Ejercicio (Ahorro/Desahorro), así como a la referencia a las Reglas de Registro y Valuación del Patrimonio, en los capítulos y apartados correspondientes, conforme a lo siguiente:</w:t>
      </w:r>
    </w:p>
    <w:p w14:paraId="58A76C21" w14:textId="77777777" w:rsidR="00850EDB" w:rsidRPr="00711F12" w:rsidRDefault="00850EDB" w:rsidP="00733A22">
      <w:pPr>
        <w:pStyle w:val="Texto"/>
        <w:spacing w:after="0" w:line="240" w:lineRule="auto"/>
        <w:ind w:firstLine="0"/>
        <w:rPr>
          <w:rFonts w:ascii="Times New Roman" w:hAnsi="Times New Roman" w:cs="Times New Roman"/>
          <w:sz w:val="20"/>
        </w:rPr>
      </w:pPr>
    </w:p>
    <w:p w14:paraId="1CF0C27C" w14:textId="29EC0881"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Antecedentes</w:t>
      </w:r>
    </w:p>
    <w:p w14:paraId="5F0F0086"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7811F91F"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5B61D46E"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531F6FD4"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SEGUNDO</w:t>
            </w:r>
            <w:r w:rsidRPr="00711F12">
              <w:rPr>
                <w:rFonts w:ascii="Times New Roman" w:hAnsi="Times New Roman" w:cs="Times New Roman"/>
                <w:sz w:val="20"/>
              </w:rPr>
              <w:t>. - El Manual de Contabilidad Gubernamental deberá ser actualizado con base en lo que determinen las Principales Reglas de Registro y Valoración del Patrimonio, que analizará y en su caso aprobará el CONAC, así como por los eventos subsecuentes que lo ameriten.</w:t>
            </w:r>
          </w:p>
        </w:tc>
      </w:tr>
      <w:tr w:rsidR="00CA3E3C" w:rsidRPr="00711F12" w14:paraId="0EE8506B"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648F03A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5D8D404A"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SEGUNDO</w:t>
            </w:r>
            <w:r w:rsidRPr="00711F12">
              <w:rPr>
                <w:rFonts w:ascii="Times New Roman" w:hAnsi="Times New Roman" w:cs="Times New Roman"/>
                <w:sz w:val="20"/>
              </w:rPr>
              <w:t>. - El Manual de Contabilidad Gubernamental deberá ser actualizado con base en lo que determinen las Reglas de Registro y Valuación del Patrimonio, que analizará y en su caso aprobará el CONAC, así como por los eventos subsecuentes que lo ameriten.</w:t>
            </w:r>
          </w:p>
        </w:tc>
      </w:tr>
    </w:tbl>
    <w:p w14:paraId="0161E42E"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237B5AE1" w14:textId="5D93EF57"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Introducción</w:t>
      </w:r>
    </w:p>
    <w:p w14:paraId="0F51D492"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6788B5CF"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4E5A3CF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76E26D51"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La aprobación y emisión por parte del CONAC de los contenidos de este Manual, se complementará con las principales reglas del registro y valoración de patrimonio, que el mismo emita, de manera tal que con ambos instrumentos se concluirán las bases técnicas estructurales y funcionales de la contabilidad gubernamental.</w:t>
            </w:r>
          </w:p>
        </w:tc>
      </w:tr>
      <w:tr w:rsidR="00CA3E3C" w:rsidRPr="00711F12" w14:paraId="07C9304D"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02B3A9E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418AE03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La aprobación y emisión por parte del CONAC de los contenidos de este Manual, se complementará con las Reglas de Registro y Valuación del Patrimonio, que el mismo emita, de manera tal que con ambos instrumentos se concluirán las bases técnicas estructurales y funcionales de la contabilidad gubernamental.</w:t>
            </w:r>
          </w:p>
        </w:tc>
      </w:tr>
    </w:tbl>
    <w:p w14:paraId="4C4E9D90"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7EFF81DD" w14:textId="51549119"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Capítulo III Plan de Cuentas</w:t>
      </w:r>
    </w:p>
    <w:p w14:paraId="344F3E6E"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4709B43A"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2B25F259"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69CF0BE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 Ingresos por Venta de Bienes y Prestación de Servicios: Comprende el importe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tc>
      </w:tr>
      <w:tr w:rsidR="00CA3E3C" w:rsidRPr="00711F12" w14:paraId="66108882"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5A53FE32"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634B97E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 Ingresos por Venta de Bienes y Prestación de Servicios: Comprende el importe de los ingresos propios obtenidos por las Instituciones Públicas de Seguridad Social, las Empresas Públicas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tc>
      </w:tr>
      <w:tr w:rsidR="00CA3E3C" w:rsidRPr="00711F12" w14:paraId="5D5E8FA0"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2351D784"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15C5B933"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 Importe de los ingresos propios obtenidos por las Empresas Productivas del Estado por sus actividades de producción, comercialización o prestación de servicios.</w:t>
            </w:r>
          </w:p>
        </w:tc>
      </w:tr>
      <w:tr w:rsidR="00CA3E3C" w:rsidRPr="00711F12" w14:paraId="3E70BBB8"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0FB8CC83"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3F8A79D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 Importe de los ingresos propios obtenidos por las Empresas Públicas del Estado por sus actividades de producción, comercialización o prestación de servicios.</w:t>
            </w:r>
          </w:p>
        </w:tc>
      </w:tr>
    </w:tbl>
    <w:p w14:paraId="76DA3778"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05DE456F" w14:textId="320EA4EF"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Capítulo IV Instructivos de Manejo de Cuentas</w:t>
      </w:r>
    </w:p>
    <w:p w14:paraId="2244521B"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1CD9B1CD"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3B1A60A8"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7DFAE2B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CUENTA 4.1.7.2 Ingresos por Venta de Bienes y Prestación de Servicios de Empresas Productivas del Estado</w:t>
            </w:r>
          </w:p>
        </w:tc>
      </w:tr>
      <w:tr w:rsidR="00CA3E3C" w:rsidRPr="00711F12" w14:paraId="2226A85B" w14:textId="77777777" w:rsidTr="00800F70">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6686B50D"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58DC9AA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CUENTA 4.1.7.2 Ingresos por Venta de Bienes y Prestación de Servicios de Empresas Públicas del Estado</w:t>
            </w:r>
          </w:p>
        </w:tc>
      </w:tr>
    </w:tbl>
    <w:p w14:paraId="5EC2272E" w14:textId="77777777" w:rsidR="00800F70" w:rsidRPr="00711F12" w:rsidRDefault="00800F70" w:rsidP="00733A22">
      <w:pPr>
        <w:spacing w:after="0"/>
      </w:pPr>
      <w:r w:rsidRPr="00711F12">
        <w:br w:type="page"/>
      </w: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800F70" w:rsidRPr="00711F12" w14:paraId="5F487FF1" w14:textId="77777777" w:rsidTr="00800F70">
        <w:trPr>
          <w:cantSplit/>
          <w:trHeight w:val="198"/>
        </w:trPr>
        <w:tc>
          <w:tcPr>
            <w:tcW w:w="686" w:type="pct"/>
            <w:vMerge w:val="restart"/>
            <w:tcBorders>
              <w:top w:val="single" w:sz="6" w:space="0" w:color="auto"/>
              <w:left w:val="single" w:sz="6" w:space="0" w:color="auto"/>
              <w:right w:val="single" w:sz="6" w:space="0" w:color="auto"/>
            </w:tcBorders>
            <w:vAlign w:val="center"/>
          </w:tcPr>
          <w:p w14:paraId="401565CD" w14:textId="2B7C6883"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lastRenderedPageBreak/>
              <w:t>Dice:</w:t>
            </w:r>
          </w:p>
        </w:tc>
        <w:tc>
          <w:tcPr>
            <w:tcW w:w="4314" w:type="pct"/>
            <w:tcBorders>
              <w:top w:val="single" w:sz="6" w:space="0" w:color="auto"/>
              <w:left w:val="single" w:sz="6" w:space="0" w:color="auto"/>
              <w:right w:val="single" w:sz="6" w:space="0" w:color="auto"/>
            </w:tcBorders>
            <w:vAlign w:val="center"/>
          </w:tcPr>
          <w:p w14:paraId="6B4C0AD5" w14:textId="1099DB33"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800F70" w:rsidRPr="00711F12" w14:paraId="49D84BB2" w14:textId="77777777" w:rsidTr="00800F70">
        <w:trPr>
          <w:cantSplit/>
          <w:trHeight w:val="198"/>
        </w:trPr>
        <w:tc>
          <w:tcPr>
            <w:tcW w:w="686" w:type="pct"/>
            <w:vMerge/>
            <w:tcBorders>
              <w:left w:val="single" w:sz="6" w:space="0" w:color="auto"/>
              <w:bottom w:val="single" w:sz="6" w:space="0" w:color="auto"/>
              <w:right w:val="single" w:sz="6" w:space="0" w:color="auto"/>
            </w:tcBorders>
            <w:vAlign w:val="center"/>
          </w:tcPr>
          <w:p w14:paraId="3EC9BB1F"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5C1C6EEC" w14:textId="797AEA39"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1. Por la autorización de la devolución de los ingresos por venta de bienes y prestación de servicios de Empresas Productivas del Estado.</w:t>
            </w:r>
          </w:p>
        </w:tc>
      </w:tr>
      <w:tr w:rsidR="00800F70" w:rsidRPr="00711F12" w14:paraId="5D9A0B63" w14:textId="77777777" w:rsidTr="00D33E0E">
        <w:trPr>
          <w:cantSplit/>
          <w:trHeight w:val="198"/>
        </w:trPr>
        <w:tc>
          <w:tcPr>
            <w:tcW w:w="686" w:type="pct"/>
            <w:vMerge w:val="restart"/>
            <w:tcBorders>
              <w:top w:val="single" w:sz="6" w:space="0" w:color="auto"/>
              <w:left w:val="single" w:sz="6" w:space="0" w:color="auto"/>
              <w:right w:val="single" w:sz="6" w:space="0" w:color="auto"/>
            </w:tcBorders>
            <w:vAlign w:val="center"/>
          </w:tcPr>
          <w:p w14:paraId="7B613669" w14:textId="56668D0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2508CC80" w14:textId="7C780D98"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800F70" w:rsidRPr="00711F12" w14:paraId="090A8F39" w14:textId="77777777" w:rsidTr="00D33E0E">
        <w:trPr>
          <w:cantSplit/>
          <w:trHeight w:val="198"/>
        </w:trPr>
        <w:tc>
          <w:tcPr>
            <w:tcW w:w="686" w:type="pct"/>
            <w:vMerge/>
            <w:tcBorders>
              <w:left w:val="single" w:sz="6" w:space="0" w:color="auto"/>
              <w:bottom w:val="single" w:sz="6" w:space="0" w:color="auto"/>
              <w:right w:val="single" w:sz="6" w:space="0" w:color="auto"/>
            </w:tcBorders>
            <w:vAlign w:val="center"/>
          </w:tcPr>
          <w:p w14:paraId="06D87C6F"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3A2A6FAA" w14:textId="24AE7D4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1. Por la autorización de la devolución de los ingresos por venta de bienes y prestación de servicios de Empresas Públicas del Estado.</w:t>
            </w:r>
          </w:p>
        </w:tc>
      </w:tr>
      <w:tr w:rsidR="00800F70" w:rsidRPr="00711F12" w14:paraId="4EF2D4ED" w14:textId="77777777" w:rsidTr="009B28BA">
        <w:trPr>
          <w:cantSplit/>
          <w:trHeight w:val="198"/>
        </w:trPr>
        <w:tc>
          <w:tcPr>
            <w:tcW w:w="686" w:type="pct"/>
            <w:vMerge w:val="restart"/>
            <w:tcBorders>
              <w:top w:val="single" w:sz="6" w:space="0" w:color="auto"/>
              <w:left w:val="single" w:sz="6" w:space="0" w:color="auto"/>
              <w:right w:val="single" w:sz="6" w:space="0" w:color="auto"/>
            </w:tcBorders>
            <w:vAlign w:val="center"/>
          </w:tcPr>
          <w:p w14:paraId="79B3BA57" w14:textId="7777777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540495C7" w14:textId="547A0649"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800F70" w:rsidRPr="00711F12" w14:paraId="55336BBB" w14:textId="77777777" w:rsidTr="00800F70">
        <w:trPr>
          <w:cantSplit/>
          <w:trHeight w:val="198"/>
        </w:trPr>
        <w:tc>
          <w:tcPr>
            <w:tcW w:w="686" w:type="pct"/>
            <w:vMerge/>
            <w:tcBorders>
              <w:left w:val="single" w:sz="6" w:space="0" w:color="auto"/>
              <w:bottom w:val="single" w:sz="6" w:space="0" w:color="auto"/>
              <w:right w:val="single" w:sz="6" w:space="0" w:color="auto"/>
            </w:tcBorders>
            <w:vAlign w:val="center"/>
          </w:tcPr>
          <w:p w14:paraId="4CA34566"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2EAA455A" w14:textId="68500F36"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1. Por el devengado al realizarse la venta de bienes y prestación de servicios de Empresas Productivas del Estado.</w:t>
            </w:r>
          </w:p>
        </w:tc>
      </w:tr>
      <w:tr w:rsidR="00800F70" w:rsidRPr="00711F12" w14:paraId="5BADF3D4" w14:textId="77777777" w:rsidTr="00EA2340">
        <w:trPr>
          <w:cantSplit/>
          <w:trHeight w:val="198"/>
        </w:trPr>
        <w:tc>
          <w:tcPr>
            <w:tcW w:w="686" w:type="pct"/>
            <w:vMerge w:val="restart"/>
            <w:tcBorders>
              <w:top w:val="single" w:sz="6" w:space="0" w:color="auto"/>
              <w:left w:val="single" w:sz="6" w:space="0" w:color="auto"/>
              <w:right w:val="single" w:sz="6" w:space="0" w:color="auto"/>
            </w:tcBorders>
            <w:vAlign w:val="center"/>
          </w:tcPr>
          <w:p w14:paraId="54DF5593" w14:textId="7777777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1334625B" w14:textId="1F766445"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800F70" w:rsidRPr="00711F12" w14:paraId="64E4A21C" w14:textId="77777777" w:rsidTr="00800F70">
        <w:trPr>
          <w:cantSplit/>
          <w:trHeight w:val="198"/>
        </w:trPr>
        <w:tc>
          <w:tcPr>
            <w:tcW w:w="686" w:type="pct"/>
            <w:vMerge/>
            <w:tcBorders>
              <w:left w:val="single" w:sz="6" w:space="0" w:color="auto"/>
              <w:bottom w:val="single" w:sz="6" w:space="0" w:color="auto"/>
              <w:right w:val="single" w:sz="6" w:space="0" w:color="auto"/>
            </w:tcBorders>
            <w:vAlign w:val="center"/>
          </w:tcPr>
          <w:p w14:paraId="54EE604E"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57F17364" w14:textId="1BF17A45"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1. Por el devengado al realizarse la venta de bienes y prestación de servicios de Empresas Públicas del Estado.</w:t>
            </w:r>
          </w:p>
        </w:tc>
      </w:tr>
      <w:tr w:rsidR="00800F70" w:rsidRPr="00711F12" w14:paraId="4661D1C8" w14:textId="77777777" w:rsidTr="00800F70">
        <w:trPr>
          <w:cantSplit/>
          <w:trHeight w:val="198"/>
        </w:trPr>
        <w:tc>
          <w:tcPr>
            <w:tcW w:w="686" w:type="pct"/>
            <w:vMerge w:val="restart"/>
            <w:tcBorders>
              <w:top w:val="single" w:sz="6" w:space="0" w:color="auto"/>
              <w:left w:val="single" w:sz="6" w:space="0" w:color="auto"/>
              <w:right w:val="single" w:sz="6" w:space="0" w:color="auto"/>
            </w:tcBorders>
            <w:vAlign w:val="center"/>
          </w:tcPr>
          <w:p w14:paraId="3B7003C0" w14:textId="7777777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4286BF33" w14:textId="39FF6C2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SU SALDO REPRESENTA</w:t>
            </w:r>
          </w:p>
        </w:tc>
      </w:tr>
      <w:tr w:rsidR="00800F70" w:rsidRPr="00711F12" w14:paraId="110449A4" w14:textId="77777777" w:rsidTr="00800F70">
        <w:trPr>
          <w:cantSplit/>
          <w:trHeight w:val="198"/>
        </w:trPr>
        <w:tc>
          <w:tcPr>
            <w:tcW w:w="686" w:type="pct"/>
            <w:vMerge/>
            <w:tcBorders>
              <w:left w:val="single" w:sz="6" w:space="0" w:color="auto"/>
              <w:bottom w:val="single" w:sz="6" w:space="0" w:color="auto"/>
              <w:right w:val="single" w:sz="6" w:space="0" w:color="auto"/>
            </w:tcBorders>
            <w:vAlign w:val="center"/>
          </w:tcPr>
          <w:p w14:paraId="518B92D2"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728C7227" w14:textId="40C3B1B5"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El importe de los ingresos propios obtenidos por las Empresas Productivas del Estado por sus actividades de producción, comercialización o prestación de servicios.</w:t>
            </w:r>
          </w:p>
        </w:tc>
      </w:tr>
      <w:tr w:rsidR="00800F70" w:rsidRPr="00711F12" w14:paraId="3FFB21B0" w14:textId="77777777" w:rsidTr="00800F70">
        <w:trPr>
          <w:cantSplit/>
          <w:trHeight w:val="198"/>
        </w:trPr>
        <w:tc>
          <w:tcPr>
            <w:tcW w:w="686" w:type="pct"/>
            <w:vMerge w:val="restart"/>
            <w:tcBorders>
              <w:top w:val="single" w:sz="6" w:space="0" w:color="auto"/>
              <w:left w:val="single" w:sz="6" w:space="0" w:color="auto"/>
              <w:right w:val="single" w:sz="6" w:space="0" w:color="auto"/>
            </w:tcBorders>
            <w:vAlign w:val="center"/>
          </w:tcPr>
          <w:p w14:paraId="31B9BFB9" w14:textId="7777777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28A0E843" w14:textId="4EC5ED6D"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SU SALDO REPRESENTA</w:t>
            </w:r>
          </w:p>
        </w:tc>
      </w:tr>
      <w:tr w:rsidR="00800F70" w:rsidRPr="00711F12" w14:paraId="45EC3888" w14:textId="77777777" w:rsidTr="00800F70">
        <w:trPr>
          <w:cantSplit/>
          <w:trHeight w:val="198"/>
        </w:trPr>
        <w:tc>
          <w:tcPr>
            <w:tcW w:w="686" w:type="pct"/>
            <w:vMerge/>
            <w:tcBorders>
              <w:left w:val="single" w:sz="6" w:space="0" w:color="auto"/>
              <w:bottom w:val="single" w:sz="6" w:space="0" w:color="auto"/>
              <w:right w:val="single" w:sz="6" w:space="0" w:color="auto"/>
            </w:tcBorders>
            <w:vAlign w:val="center"/>
          </w:tcPr>
          <w:p w14:paraId="67542346"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21DA11DE" w14:textId="3707037F"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El importe de los ingresos propios obtenidos por las Empresas Públicas del Estado por sus actividades de producción, comercialización o prestación de servicios.</w:t>
            </w:r>
          </w:p>
        </w:tc>
      </w:tr>
    </w:tbl>
    <w:p w14:paraId="2048447E" w14:textId="77777777" w:rsidR="00CA3E3C" w:rsidRPr="00711F12" w:rsidRDefault="00CA3E3C" w:rsidP="00733A22">
      <w:pPr>
        <w:pStyle w:val="Texto"/>
        <w:spacing w:after="0" w:line="240" w:lineRule="auto"/>
        <w:ind w:firstLine="0"/>
        <w:rPr>
          <w:rFonts w:ascii="Times New Roman" w:hAnsi="Times New Roman" w:cs="Times New Roman"/>
          <w:sz w:val="20"/>
        </w:rPr>
      </w:pPr>
    </w:p>
    <w:p w14:paraId="0F784A4D" w14:textId="2C8EDDD9"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Capítulo V Modelo de Asientos para el Registro Contable</w:t>
      </w:r>
    </w:p>
    <w:p w14:paraId="7FE18CFE"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37F41A98"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14C72C1D"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II.1.7.1 Registro del devengado al realizarse la Venta de Bienes y Prestación de Servicios, incluye Impuesto al Valor Agregado.</w:t>
            </w:r>
          </w:p>
        </w:tc>
      </w:tr>
      <w:tr w:rsidR="00800F70" w:rsidRPr="00711F12" w14:paraId="3378B1A9" w14:textId="77777777" w:rsidTr="00F77694">
        <w:trPr>
          <w:cantSplit/>
          <w:trHeight w:val="198"/>
        </w:trPr>
        <w:tc>
          <w:tcPr>
            <w:tcW w:w="686" w:type="pct"/>
            <w:vMerge w:val="restart"/>
            <w:tcBorders>
              <w:top w:val="single" w:sz="6" w:space="0" w:color="auto"/>
              <w:left w:val="single" w:sz="6" w:space="0" w:color="auto"/>
              <w:right w:val="single" w:sz="6" w:space="0" w:color="auto"/>
            </w:tcBorders>
            <w:vAlign w:val="center"/>
          </w:tcPr>
          <w:p w14:paraId="2AAD0CB1" w14:textId="7777777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049A6DF3" w14:textId="542EE638"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800F70" w:rsidRPr="00711F12" w14:paraId="1CB041AE" w14:textId="77777777" w:rsidTr="00F77694">
        <w:trPr>
          <w:cantSplit/>
          <w:trHeight w:val="198"/>
        </w:trPr>
        <w:tc>
          <w:tcPr>
            <w:tcW w:w="686" w:type="pct"/>
            <w:vMerge/>
            <w:tcBorders>
              <w:left w:val="single" w:sz="6" w:space="0" w:color="auto"/>
              <w:bottom w:val="single" w:sz="6" w:space="0" w:color="auto"/>
              <w:right w:val="single" w:sz="6" w:space="0" w:color="auto"/>
            </w:tcBorders>
            <w:vAlign w:val="center"/>
          </w:tcPr>
          <w:p w14:paraId="197278BE"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578ECF36" w14:textId="2642D8FF"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800F70" w:rsidRPr="00711F12" w14:paraId="454FF42C" w14:textId="77777777" w:rsidTr="00DA23D6">
        <w:trPr>
          <w:cantSplit/>
          <w:trHeight w:val="198"/>
        </w:trPr>
        <w:tc>
          <w:tcPr>
            <w:tcW w:w="686" w:type="pct"/>
            <w:vMerge w:val="restart"/>
            <w:tcBorders>
              <w:top w:val="single" w:sz="6" w:space="0" w:color="auto"/>
              <w:left w:val="single" w:sz="6" w:space="0" w:color="auto"/>
              <w:right w:val="single" w:sz="6" w:space="0" w:color="auto"/>
            </w:tcBorders>
            <w:vAlign w:val="center"/>
          </w:tcPr>
          <w:p w14:paraId="38446494" w14:textId="77777777"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731D4794" w14:textId="6A6631AA"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800F70" w:rsidRPr="00711F12" w14:paraId="0F838ED6" w14:textId="77777777" w:rsidTr="00DA23D6">
        <w:trPr>
          <w:cantSplit/>
          <w:trHeight w:val="198"/>
        </w:trPr>
        <w:tc>
          <w:tcPr>
            <w:tcW w:w="686" w:type="pct"/>
            <w:vMerge/>
            <w:tcBorders>
              <w:left w:val="single" w:sz="6" w:space="0" w:color="auto"/>
              <w:bottom w:val="single" w:sz="6" w:space="0" w:color="auto"/>
              <w:right w:val="single" w:sz="6" w:space="0" w:color="auto"/>
            </w:tcBorders>
            <w:vAlign w:val="center"/>
          </w:tcPr>
          <w:p w14:paraId="10CA88F8" w14:textId="77777777" w:rsidR="00800F70" w:rsidRPr="00711F12" w:rsidRDefault="00800F70"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44F53F20" w14:textId="6D8C42FD" w:rsidR="00800F70" w:rsidRPr="00711F12" w:rsidRDefault="00800F70"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r w:rsidR="00CA3E3C" w:rsidRPr="00711F12" w14:paraId="53DE8676"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vAlign w:val="center"/>
          </w:tcPr>
          <w:p w14:paraId="27571C1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II.1.7.3 Registro de la autorización y el pago de la devolución en efectivo de los ingresos por Venta de Bienes y Prestación de Servicios.</w:t>
            </w:r>
          </w:p>
        </w:tc>
      </w:tr>
      <w:tr w:rsidR="004B0016" w:rsidRPr="00711F12" w14:paraId="66FA117C" w14:textId="77777777" w:rsidTr="00A8559B">
        <w:trPr>
          <w:cantSplit/>
          <w:trHeight w:val="198"/>
        </w:trPr>
        <w:tc>
          <w:tcPr>
            <w:tcW w:w="686" w:type="pct"/>
            <w:vMerge w:val="restart"/>
            <w:tcBorders>
              <w:top w:val="single" w:sz="6" w:space="0" w:color="auto"/>
              <w:left w:val="single" w:sz="6" w:space="0" w:color="auto"/>
              <w:right w:val="single" w:sz="6" w:space="0" w:color="auto"/>
            </w:tcBorders>
            <w:vAlign w:val="center"/>
          </w:tcPr>
          <w:p w14:paraId="1AD9355C" w14:textId="7777777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60DBAFF4" w14:textId="1F72BB5B"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4B0016" w:rsidRPr="00711F12" w14:paraId="3BD24F6C" w14:textId="77777777" w:rsidTr="00A8559B">
        <w:trPr>
          <w:cantSplit/>
          <w:trHeight w:val="198"/>
        </w:trPr>
        <w:tc>
          <w:tcPr>
            <w:tcW w:w="686" w:type="pct"/>
            <w:vMerge/>
            <w:tcBorders>
              <w:left w:val="single" w:sz="6" w:space="0" w:color="auto"/>
              <w:bottom w:val="single" w:sz="6" w:space="0" w:color="auto"/>
              <w:right w:val="single" w:sz="6" w:space="0" w:color="auto"/>
            </w:tcBorders>
            <w:vAlign w:val="center"/>
          </w:tcPr>
          <w:p w14:paraId="6001AB35"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3B11FAE1" w14:textId="0F8A5D3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4B0016" w:rsidRPr="00711F12" w14:paraId="26095CA4" w14:textId="77777777" w:rsidTr="009777DC">
        <w:trPr>
          <w:cantSplit/>
          <w:trHeight w:val="198"/>
        </w:trPr>
        <w:tc>
          <w:tcPr>
            <w:tcW w:w="686" w:type="pct"/>
            <w:vMerge w:val="restart"/>
            <w:tcBorders>
              <w:top w:val="single" w:sz="6" w:space="0" w:color="auto"/>
              <w:left w:val="single" w:sz="6" w:space="0" w:color="auto"/>
              <w:right w:val="single" w:sz="6" w:space="0" w:color="auto"/>
            </w:tcBorders>
            <w:vAlign w:val="center"/>
          </w:tcPr>
          <w:p w14:paraId="227DA6D4" w14:textId="7777777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480FED24" w14:textId="0E868226"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4B0016" w:rsidRPr="00711F12" w14:paraId="6F696721" w14:textId="77777777" w:rsidTr="009777DC">
        <w:trPr>
          <w:cantSplit/>
          <w:trHeight w:val="198"/>
        </w:trPr>
        <w:tc>
          <w:tcPr>
            <w:tcW w:w="686" w:type="pct"/>
            <w:vMerge/>
            <w:tcBorders>
              <w:left w:val="single" w:sz="6" w:space="0" w:color="auto"/>
              <w:bottom w:val="single" w:sz="6" w:space="0" w:color="auto"/>
              <w:right w:val="single" w:sz="6" w:space="0" w:color="auto"/>
            </w:tcBorders>
            <w:vAlign w:val="center"/>
          </w:tcPr>
          <w:p w14:paraId="6AE086F2"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42A5D857" w14:textId="593B929E"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r w:rsidR="00CA3E3C" w:rsidRPr="00711F12" w14:paraId="6BBC227F"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vAlign w:val="center"/>
          </w:tcPr>
          <w:p w14:paraId="5033BBE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VIII.1.1.1 Registro al cierre del ejercicio por el traspaso del saldo de cuentas de ingresos.</w:t>
            </w:r>
          </w:p>
        </w:tc>
      </w:tr>
      <w:tr w:rsidR="004B0016" w:rsidRPr="00711F12" w14:paraId="23A441D1" w14:textId="77777777" w:rsidTr="004B0016">
        <w:trPr>
          <w:cantSplit/>
          <w:trHeight w:val="198"/>
        </w:trPr>
        <w:tc>
          <w:tcPr>
            <w:tcW w:w="686" w:type="pct"/>
            <w:vMerge w:val="restart"/>
            <w:tcBorders>
              <w:top w:val="single" w:sz="6" w:space="0" w:color="auto"/>
              <w:left w:val="single" w:sz="6" w:space="0" w:color="auto"/>
              <w:right w:val="single" w:sz="6" w:space="0" w:color="auto"/>
            </w:tcBorders>
            <w:vAlign w:val="center"/>
          </w:tcPr>
          <w:p w14:paraId="2B8447F7" w14:textId="7777777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2E7A448B" w14:textId="6490C0C9"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4B0016" w:rsidRPr="00711F12" w14:paraId="4A2EBB7B" w14:textId="77777777" w:rsidTr="004B0016">
        <w:trPr>
          <w:cantSplit/>
          <w:trHeight w:val="198"/>
        </w:trPr>
        <w:tc>
          <w:tcPr>
            <w:tcW w:w="686" w:type="pct"/>
            <w:vMerge/>
            <w:tcBorders>
              <w:left w:val="single" w:sz="6" w:space="0" w:color="auto"/>
              <w:bottom w:val="single" w:sz="6" w:space="0" w:color="auto"/>
              <w:right w:val="single" w:sz="6" w:space="0" w:color="auto"/>
            </w:tcBorders>
            <w:vAlign w:val="center"/>
          </w:tcPr>
          <w:p w14:paraId="41F15DCD"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63A84A14" w14:textId="2040D170"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4B0016" w:rsidRPr="00711F12" w14:paraId="262EF2A3" w14:textId="77777777" w:rsidTr="004B0016">
        <w:trPr>
          <w:cantSplit/>
          <w:trHeight w:val="198"/>
        </w:trPr>
        <w:tc>
          <w:tcPr>
            <w:tcW w:w="686" w:type="pct"/>
            <w:vMerge w:val="restart"/>
            <w:tcBorders>
              <w:top w:val="single" w:sz="6" w:space="0" w:color="auto"/>
              <w:left w:val="single" w:sz="6" w:space="0" w:color="auto"/>
              <w:right w:val="single" w:sz="6" w:space="0" w:color="auto"/>
            </w:tcBorders>
            <w:vAlign w:val="center"/>
          </w:tcPr>
          <w:p w14:paraId="6F7DC70A" w14:textId="7777777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72B85F5A" w14:textId="73DFABD3"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4B0016" w:rsidRPr="00711F12" w14:paraId="29ED2351" w14:textId="77777777" w:rsidTr="004B0016">
        <w:trPr>
          <w:cantSplit/>
          <w:trHeight w:val="198"/>
        </w:trPr>
        <w:tc>
          <w:tcPr>
            <w:tcW w:w="686" w:type="pct"/>
            <w:vMerge/>
            <w:tcBorders>
              <w:left w:val="single" w:sz="6" w:space="0" w:color="auto"/>
              <w:bottom w:val="single" w:sz="6" w:space="0" w:color="auto"/>
              <w:right w:val="single" w:sz="6" w:space="0" w:color="auto"/>
            </w:tcBorders>
            <w:vAlign w:val="center"/>
          </w:tcPr>
          <w:p w14:paraId="57028C4A"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17CCE154" w14:textId="66CFA25B"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bl>
    <w:p w14:paraId="7233EDFE"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721F2344" w14:textId="4D3E1984"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Capítulo VI Guías Contabilizadoras</w:t>
      </w:r>
    </w:p>
    <w:p w14:paraId="6265BAB0"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145F4B23"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2F98CF8E" w14:textId="77777777" w:rsidR="00CA3E3C" w:rsidRPr="00711F12" w:rsidRDefault="00CA3E3C" w:rsidP="00733A22">
            <w:pPr>
              <w:pStyle w:val="Texto"/>
              <w:spacing w:after="0" w:line="240" w:lineRule="auto"/>
              <w:ind w:firstLine="0"/>
              <w:rPr>
                <w:rFonts w:ascii="Times New Roman" w:hAnsi="Times New Roman" w:cs="Times New Roman"/>
                <w:sz w:val="20"/>
              </w:rPr>
            </w:pPr>
            <w:r w:rsidRPr="00022F96">
              <w:rPr>
                <w:rFonts w:ascii="Times New Roman" w:hAnsi="Times New Roman" w:cs="Times New Roman"/>
                <w:sz w:val="20"/>
              </w:rPr>
              <w:t>II.1.7 Venta de Bienes y Prestación de Servicios.</w:t>
            </w:r>
          </w:p>
        </w:tc>
      </w:tr>
      <w:tr w:rsidR="004B0016" w:rsidRPr="00711F12" w14:paraId="6357C4EE" w14:textId="77777777" w:rsidTr="004B0016">
        <w:trPr>
          <w:cantSplit/>
          <w:trHeight w:val="198"/>
        </w:trPr>
        <w:tc>
          <w:tcPr>
            <w:tcW w:w="686" w:type="pct"/>
            <w:vMerge w:val="restart"/>
            <w:tcBorders>
              <w:top w:val="single" w:sz="6" w:space="0" w:color="auto"/>
              <w:left w:val="single" w:sz="6" w:space="0" w:color="auto"/>
              <w:right w:val="single" w:sz="6" w:space="0" w:color="auto"/>
            </w:tcBorders>
            <w:vAlign w:val="center"/>
          </w:tcPr>
          <w:p w14:paraId="26D23B4F" w14:textId="7777777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4EDF3096" w14:textId="5D16D974"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4B0016" w:rsidRPr="00711F12" w14:paraId="5E47F63E" w14:textId="77777777" w:rsidTr="004B0016">
        <w:trPr>
          <w:cantSplit/>
          <w:trHeight w:val="198"/>
        </w:trPr>
        <w:tc>
          <w:tcPr>
            <w:tcW w:w="686" w:type="pct"/>
            <w:vMerge/>
            <w:tcBorders>
              <w:left w:val="single" w:sz="6" w:space="0" w:color="auto"/>
              <w:bottom w:val="single" w:sz="6" w:space="0" w:color="auto"/>
              <w:right w:val="single" w:sz="6" w:space="0" w:color="auto"/>
            </w:tcBorders>
            <w:vAlign w:val="center"/>
          </w:tcPr>
          <w:p w14:paraId="584809D6"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5EAE42DD" w14:textId="50A11759"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4B0016" w:rsidRPr="00711F12" w14:paraId="6D20860B" w14:textId="77777777" w:rsidTr="004B0016">
        <w:trPr>
          <w:cantSplit/>
          <w:trHeight w:val="198"/>
        </w:trPr>
        <w:tc>
          <w:tcPr>
            <w:tcW w:w="686" w:type="pct"/>
            <w:vMerge w:val="restart"/>
            <w:tcBorders>
              <w:top w:val="single" w:sz="6" w:space="0" w:color="auto"/>
              <w:left w:val="single" w:sz="6" w:space="0" w:color="auto"/>
              <w:right w:val="single" w:sz="6" w:space="0" w:color="auto"/>
            </w:tcBorders>
            <w:vAlign w:val="center"/>
          </w:tcPr>
          <w:p w14:paraId="392AC184" w14:textId="7777777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40B7FAE2" w14:textId="1DA46DE3"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4B0016" w:rsidRPr="00711F12" w14:paraId="3B81DC5B" w14:textId="77777777" w:rsidTr="004B0016">
        <w:trPr>
          <w:cantSplit/>
          <w:trHeight w:val="198"/>
        </w:trPr>
        <w:tc>
          <w:tcPr>
            <w:tcW w:w="686" w:type="pct"/>
            <w:vMerge/>
            <w:tcBorders>
              <w:left w:val="single" w:sz="6" w:space="0" w:color="auto"/>
              <w:bottom w:val="single" w:sz="6" w:space="0" w:color="auto"/>
              <w:right w:val="single" w:sz="6" w:space="0" w:color="auto"/>
            </w:tcBorders>
            <w:vAlign w:val="center"/>
          </w:tcPr>
          <w:p w14:paraId="28833161"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4C0A2031" w14:textId="19EFAAFC"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r w:rsidR="00CA3E3C" w:rsidRPr="00711F12" w14:paraId="43B945EF"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3C33AF3" w14:textId="77777777" w:rsidR="00CA3E3C" w:rsidRPr="00711F12" w:rsidRDefault="00CA3E3C" w:rsidP="00733A22">
            <w:pPr>
              <w:pStyle w:val="Texto"/>
              <w:spacing w:after="0" w:line="240" w:lineRule="auto"/>
              <w:ind w:firstLine="0"/>
              <w:rPr>
                <w:rFonts w:ascii="Times New Roman" w:hAnsi="Times New Roman" w:cs="Times New Roman"/>
                <w:sz w:val="20"/>
              </w:rPr>
            </w:pPr>
            <w:r w:rsidRPr="00022F96">
              <w:rPr>
                <w:rFonts w:ascii="Times New Roman" w:hAnsi="Times New Roman" w:cs="Times New Roman"/>
                <w:sz w:val="20"/>
              </w:rPr>
              <w:t>II.1.7 Venta de Bienes y Prestación de Servicios.</w:t>
            </w:r>
          </w:p>
        </w:tc>
      </w:tr>
      <w:tr w:rsidR="00CA3E3C" w:rsidRPr="00711F12" w14:paraId="0753F77E"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35BCAA81"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0E69AE64" w14:textId="0E6B5308"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4B0016" w:rsidRPr="00711F12" w14:paraId="5E13FE01"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7EAEC702"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top w:val="single" w:sz="6" w:space="0" w:color="auto"/>
              <w:left w:val="single" w:sz="6" w:space="0" w:color="auto"/>
              <w:bottom w:val="single" w:sz="6" w:space="0" w:color="auto"/>
              <w:right w:val="single" w:sz="6" w:space="0" w:color="auto"/>
            </w:tcBorders>
            <w:vAlign w:val="center"/>
          </w:tcPr>
          <w:p w14:paraId="12158174" w14:textId="465D1CAB"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CA3E3C" w:rsidRPr="00711F12" w14:paraId="6A4F58F5"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3B4A42FD"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217D987B" w14:textId="71B50B88"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4B0016" w:rsidRPr="00711F12" w14:paraId="1E1B5E90"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17A60782" w14:textId="77777777" w:rsidR="004B0016" w:rsidRPr="00711F12" w:rsidRDefault="004B0016" w:rsidP="00733A22">
            <w:pPr>
              <w:pStyle w:val="Texto"/>
              <w:spacing w:after="0" w:line="240" w:lineRule="auto"/>
              <w:ind w:firstLine="0"/>
              <w:rPr>
                <w:rFonts w:ascii="Times New Roman" w:hAnsi="Times New Roman" w:cs="Times New Roman"/>
                <w:sz w:val="20"/>
              </w:rPr>
            </w:pPr>
          </w:p>
        </w:tc>
        <w:tc>
          <w:tcPr>
            <w:tcW w:w="4314" w:type="pct"/>
            <w:tcBorders>
              <w:top w:val="single" w:sz="6" w:space="0" w:color="auto"/>
              <w:left w:val="single" w:sz="6" w:space="0" w:color="auto"/>
              <w:bottom w:val="single" w:sz="6" w:space="0" w:color="auto"/>
              <w:right w:val="single" w:sz="6" w:space="0" w:color="auto"/>
            </w:tcBorders>
            <w:vAlign w:val="center"/>
          </w:tcPr>
          <w:p w14:paraId="577AD3C7" w14:textId="49886687" w:rsidR="004B0016" w:rsidRPr="00711F12" w:rsidRDefault="004B0016"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bl>
    <w:p w14:paraId="132F56F6" w14:textId="77777777" w:rsidR="00733A22" w:rsidRPr="00711F12" w:rsidRDefault="00733A22" w:rsidP="00733A22">
      <w:pPr>
        <w:spacing w:after="0"/>
      </w:pPr>
      <w:r w:rsidRPr="00711F12">
        <w:br w:type="page"/>
      </w: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10E2FDD1"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vAlign w:val="center"/>
          </w:tcPr>
          <w:p w14:paraId="0114AAA4" w14:textId="17578253"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lastRenderedPageBreak/>
              <w:t>VIII.1.1 Cierre de cuentas de ingresos y Gastos.</w:t>
            </w:r>
          </w:p>
        </w:tc>
      </w:tr>
      <w:tr w:rsidR="00EE7094" w:rsidRPr="00711F12" w14:paraId="7811F1CC" w14:textId="77777777" w:rsidTr="00EE7094">
        <w:trPr>
          <w:cantSplit/>
          <w:trHeight w:val="198"/>
        </w:trPr>
        <w:tc>
          <w:tcPr>
            <w:tcW w:w="686" w:type="pct"/>
            <w:vMerge w:val="restart"/>
            <w:tcBorders>
              <w:top w:val="single" w:sz="6" w:space="0" w:color="auto"/>
              <w:left w:val="single" w:sz="6" w:space="0" w:color="auto"/>
              <w:right w:val="single" w:sz="6" w:space="0" w:color="auto"/>
            </w:tcBorders>
            <w:vAlign w:val="center"/>
          </w:tcPr>
          <w:p w14:paraId="6F300328" w14:textId="77777777" w:rsidR="00EE7094" w:rsidRPr="00711F12" w:rsidRDefault="00EE7094"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3B3B96B8" w14:textId="31EA8B9C" w:rsidR="00EE7094" w:rsidRPr="00711F12" w:rsidRDefault="00EE7094"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EE7094" w:rsidRPr="00711F12" w14:paraId="799E8490" w14:textId="77777777" w:rsidTr="00503FDC">
        <w:trPr>
          <w:cantSplit/>
          <w:trHeight w:val="198"/>
        </w:trPr>
        <w:tc>
          <w:tcPr>
            <w:tcW w:w="686" w:type="pct"/>
            <w:vMerge/>
            <w:tcBorders>
              <w:left w:val="single" w:sz="6" w:space="0" w:color="auto"/>
              <w:bottom w:val="single" w:sz="6" w:space="0" w:color="auto"/>
              <w:right w:val="single" w:sz="6" w:space="0" w:color="auto"/>
            </w:tcBorders>
            <w:vAlign w:val="center"/>
          </w:tcPr>
          <w:p w14:paraId="057FBD17" w14:textId="77777777" w:rsidR="00EE7094" w:rsidRPr="00711F12" w:rsidRDefault="00EE7094"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1085D73A" w14:textId="0DFAAC8D" w:rsidR="00EE7094" w:rsidRPr="00711F12" w:rsidRDefault="00EE7094"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503FDC" w:rsidRPr="00711F12" w14:paraId="55B7A683" w14:textId="77777777" w:rsidTr="00683415">
        <w:trPr>
          <w:cantSplit/>
          <w:trHeight w:val="198"/>
        </w:trPr>
        <w:tc>
          <w:tcPr>
            <w:tcW w:w="686" w:type="pct"/>
            <w:vMerge w:val="restart"/>
            <w:tcBorders>
              <w:top w:val="single" w:sz="6" w:space="0" w:color="auto"/>
              <w:left w:val="single" w:sz="6" w:space="0" w:color="auto"/>
              <w:right w:val="single" w:sz="6" w:space="0" w:color="auto"/>
            </w:tcBorders>
            <w:vAlign w:val="center"/>
          </w:tcPr>
          <w:p w14:paraId="637620F5" w14:textId="7777777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09712C28" w14:textId="3492B289"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Cargo</w:t>
            </w:r>
          </w:p>
        </w:tc>
      </w:tr>
      <w:tr w:rsidR="00503FDC" w:rsidRPr="00711F12" w14:paraId="623EF865" w14:textId="77777777" w:rsidTr="00683415">
        <w:trPr>
          <w:cantSplit/>
          <w:trHeight w:val="198"/>
        </w:trPr>
        <w:tc>
          <w:tcPr>
            <w:tcW w:w="686" w:type="pct"/>
            <w:vMerge/>
            <w:tcBorders>
              <w:left w:val="single" w:sz="6" w:space="0" w:color="auto"/>
              <w:bottom w:val="single" w:sz="6" w:space="0" w:color="auto"/>
              <w:right w:val="single" w:sz="6" w:space="0" w:color="auto"/>
            </w:tcBorders>
            <w:vAlign w:val="center"/>
          </w:tcPr>
          <w:p w14:paraId="6A088364" w14:textId="77777777" w:rsidR="00503FDC" w:rsidRPr="00711F12" w:rsidRDefault="00503FDC"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63A59481" w14:textId="7AD8078F"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bl>
    <w:p w14:paraId="017BE156"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08804962" w14:textId="77777777"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Capítulo VII de los Estados e Informes Contables, Presupuestarios, Programáticos y de los Indicadores de Postura Fiscal</w:t>
      </w:r>
    </w:p>
    <w:p w14:paraId="6E677393"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3C8BDD5D" w14:textId="11C9B030"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II. Estados e Información Contable</w:t>
      </w:r>
    </w:p>
    <w:p w14:paraId="0178D691"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1D549E67"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5CB816EE"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Estado de Actividades, Estado de Situación Financiera, Estado de Variaciones en la Hacienda Pública, Estado de Cambios en la Situación Financiera y Notas a los Estados Financieros</w:t>
            </w:r>
          </w:p>
        </w:tc>
      </w:tr>
      <w:tr w:rsidR="00CA3E3C" w:rsidRPr="00711F12" w14:paraId="44E06B24"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524D8526"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02F9D15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Resultados del Ejercicio (Ahorro/Desahorro)</w:t>
            </w:r>
          </w:p>
        </w:tc>
      </w:tr>
      <w:tr w:rsidR="00CA3E3C" w:rsidRPr="00711F12" w14:paraId="0FCB43FD"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707B25E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3F6B3B3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color w:val="000000"/>
                <w:sz w:val="20"/>
              </w:rPr>
              <w:t>Resultado del Ejercicio (Ahorro/Desahorro)</w:t>
            </w:r>
          </w:p>
        </w:tc>
      </w:tr>
    </w:tbl>
    <w:p w14:paraId="03FBEB53"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727F7B48" w14:textId="13CC23D6"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III. Estados e Informes Presupuestarios</w:t>
      </w:r>
    </w:p>
    <w:p w14:paraId="19879433"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438D7100"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1FA978D6"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Estado Analítico de Ingresos</w:t>
            </w:r>
          </w:p>
        </w:tc>
      </w:tr>
      <w:tr w:rsidR="00CA3E3C" w:rsidRPr="00711F12" w14:paraId="749E8339"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2434DCE0"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1B0A48FB"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de los Entes Públicos de los Poderes Legislativo y Judicial, de los Órganos Autónomos y del Sector Paraestatal o Paramunicipal, así como de las Empresas Productivas del Estado</w:t>
            </w:r>
          </w:p>
        </w:tc>
      </w:tr>
      <w:tr w:rsidR="00CA3E3C" w:rsidRPr="00711F12" w14:paraId="1BDFAB5E"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001D0AD6"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75356139"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de los Entes Públicos de los Poderes Legislativo y Judicial, de los Órganos Autónomos y del Sector Paraestatal o Paramunicipal, así como de las Empresas Públicas del Estado</w:t>
            </w:r>
          </w:p>
        </w:tc>
      </w:tr>
    </w:tbl>
    <w:p w14:paraId="07700602"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6EBDE6F9" w14:textId="6FA327CB" w:rsidR="00CA3E3C" w:rsidRPr="00711F12" w:rsidRDefault="00CA3E3C" w:rsidP="00733A22">
      <w:pPr>
        <w:pStyle w:val="Texto"/>
        <w:spacing w:after="0" w:line="240" w:lineRule="auto"/>
        <w:ind w:firstLine="0"/>
        <w:rPr>
          <w:rFonts w:ascii="Times New Roman" w:hAnsi="Times New Roman" w:cs="Times New Roman"/>
          <w:b/>
          <w:sz w:val="20"/>
        </w:rPr>
      </w:pPr>
      <w:r w:rsidRPr="00711F12">
        <w:rPr>
          <w:rFonts w:ascii="Times New Roman" w:hAnsi="Times New Roman" w:cs="Times New Roman"/>
          <w:b/>
          <w:sz w:val="20"/>
        </w:rPr>
        <w:t>Anexo 1 Matrices de conversión</w:t>
      </w:r>
    </w:p>
    <w:p w14:paraId="613A991F" w14:textId="77777777" w:rsidR="00850EDB" w:rsidRPr="00711F12" w:rsidRDefault="00850EDB"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330138E8"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0652D6A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B.1 MATRIZ INGRESOS DEVENGADOS</w:t>
            </w:r>
          </w:p>
        </w:tc>
      </w:tr>
      <w:tr w:rsidR="00503FDC" w:rsidRPr="00711F12" w14:paraId="10B83C7A" w14:textId="77777777" w:rsidTr="00B47101">
        <w:trPr>
          <w:cantSplit/>
          <w:trHeight w:val="198"/>
        </w:trPr>
        <w:tc>
          <w:tcPr>
            <w:tcW w:w="686" w:type="pct"/>
            <w:vMerge w:val="restart"/>
            <w:tcBorders>
              <w:top w:val="single" w:sz="6" w:space="0" w:color="auto"/>
              <w:left w:val="single" w:sz="6" w:space="0" w:color="auto"/>
              <w:right w:val="single" w:sz="6" w:space="0" w:color="auto"/>
            </w:tcBorders>
            <w:vAlign w:val="center"/>
          </w:tcPr>
          <w:p w14:paraId="50F0E243" w14:textId="7777777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5DF81130" w14:textId="733C31B0"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Tipo – CRI 72</w:t>
            </w:r>
          </w:p>
        </w:tc>
      </w:tr>
      <w:tr w:rsidR="00503FDC" w:rsidRPr="00711F12" w14:paraId="498D401C" w14:textId="77777777" w:rsidTr="00B47101">
        <w:trPr>
          <w:cantSplit/>
          <w:trHeight w:val="198"/>
        </w:trPr>
        <w:tc>
          <w:tcPr>
            <w:tcW w:w="686" w:type="pct"/>
            <w:vMerge/>
            <w:tcBorders>
              <w:left w:val="single" w:sz="6" w:space="0" w:color="auto"/>
              <w:bottom w:val="single" w:sz="6" w:space="0" w:color="auto"/>
              <w:right w:val="single" w:sz="6" w:space="0" w:color="auto"/>
            </w:tcBorders>
            <w:vAlign w:val="center"/>
          </w:tcPr>
          <w:p w14:paraId="01118D15" w14:textId="77777777" w:rsidR="00503FDC" w:rsidRPr="00711F12" w:rsidRDefault="00503FDC"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195E1661" w14:textId="39FC53D9"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Productivas del Estado</w:t>
            </w:r>
          </w:p>
        </w:tc>
      </w:tr>
      <w:tr w:rsidR="00503FDC" w:rsidRPr="00711F12" w14:paraId="2CEDEE54" w14:textId="77777777" w:rsidTr="00F90786">
        <w:trPr>
          <w:cantSplit/>
          <w:trHeight w:val="198"/>
        </w:trPr>
        <w:tc>
          <w:tcPr>
            <w:tcW w:w="686" w:type="pct"/>
            <w:vMerge w:val="restart"/>
            <w:tcBorders>
              <w:top w:val="single" w:sz="6" w:space="0" w:color="auto"/>
              <w:left w:val="single" w:sz="6" w:space="0" w:color="auto"/>
              <w:right w:val="single" w:sz="6" w:space="0" w:color="auto"/>
            </w:tcBorders>
            <w:vAlign w:val="center"/>
          </w:tcPr>
          <w:p w14:paraId="06F4C63A" w14:textId="7777777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04F45859" w14:textId="42E477F0"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Tipo – CRI 72</w:t>
            </w:r>
          </w:p>
        </w:tc>
      </w:tr>
      <w:tr w:rsidR="00503FDC" w:rsidRPr="00711F12" w14:paraId="56CB9C0D" w14:textId="77777777" w:rsidTr="00F90786">
        <w:trPr>
          <w:cantSplit/>
          <w:trHeight w:val="198"/>
        </w:trPr>
        <w:tc>
          <w:tcPr>
            <w:tcW w:w="686" w:type="pct"/>
            <w:vMerge/>
            <w:tcBorders>
              <w:left w:val="single" w:sz="6" w:space="0" w:color="auto"/>
              <w:bottom w:val="single" w:sz="6" w:space="0" w:color="auto"/>
              <w:right w:val="single" w:sz="6" w:space="0" w:color="auto"/>
            </w:tcBorders>
            <w:vAlign w:val="center"/>
          </w:tcPr>
          <w:p w14:paraId="0D0DFDA4" w14:textId="77777777" w:rsidR="00503FDC" w:rsidRPr="00711F12" w:rsidRDefault="00503FDC"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6CC82F4D" w14:textId="51DA193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Públicas del Estado</w:t>
            </w:r>
          </w:p>
        </w:tc>
      </w:tr>
      <w:tr w:rsidR="00503FDC" w:rsidRPr="00711F12" w14:paraId="5F6355C1" w14:textId="77777777" w:rsidTr="002E512C">
        <w:trPr>
          <w:cantSplit/>
          <w:trHeight w:val="198"/>
        </w:trPr>
        <w:tc>
          <w:tcPr>
            <w:tcW w:w="686" w:type="pct"/>
            <w:vMerge w:val="restart"/>
            <w:tcBorders>
              <w:top w:val="single" w:sz="6" w:space="0" w:color="auto"/>
              <w:left w:val="single" w:sz="6" w:space="0" w:color="auto"/>
              <w:right w:val="single" w:sz="6" w:space="0" w:color="auto"/>
            </w:tcBorders>
            <w:vAlign w:val="center"/>
          </w:tcPr>
          <w:p w14:paraId="3EDCD57F" w14:textId="7777777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005887EE" w14:textId="4CAE6C9F"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503FDC" w:rsidRPr="00711F12" w14:paraId="7F1E467B" w14:textId="77777777" w:rsidTr="002E512C">
        <w:trPr>
          <w:cantSplit/>
          <w:trHeight w:val="198"/>
        </w:trPr>
        <w:tc>
          <w:tcPr>
            <w:tcW w:w="686" w:type="pct"/>
            <w:vMerge/>
            <w:tcBorders>
              <w:left w:val="single" w:sz="6" w:space="0" w:color="auto"/>
              <w:bottom w:val="single" w:sz="6" w:space="0" w:color="auto"/>
              <w:right w:val="single" w:sz="6" w:space="0" w:color="auto"/>
            </w:tcBorders>
            <w:vAlign w:val="center"/>
          </w:tcPr>
          <w:p w14:paraId="4B11136C" w14:textId="77777777" w:rsidR="00503FDC" w:rsidRPr="00711F12" w:rsidRDefault="00503FDC"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6923025B" w14:textId="5A89E75A"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503FDC" w:rsidRPr="00711F12" w14:paraId="29ADA2A5" w14:textId="77777777" w:rsidTr="0057167B">
        <w:trPr>
          <w:cantSplit/>
          <w:trHeight w:val="198"/>
        </w:trPr>
        <w:tc>
          <w:tcPr>
            <w:tcW w:w="686" w:type="pct"/>
            <w:vMerge w:val="restart"/>
            <w:tcBorders>
              <w:top w:val="single" w:sz="6" w:space="0" w:color="auto"/>
              <w:left w:val="single" w:sz="6" w:space="0" w:color="auto"/>
              <w:right w:val="single" w:sz="6" w:space="0" w:color="auto"/>
            </w:tcBorders>
            <w:vAlign w:val="center"/>
          </w:tcPr>
          <w:p w14:paraId="00DDB1F9" w14:textId="7777777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50C17B8D" w14:textId="646C87BD"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503FDC" w:rsidRPr="00711F12" w14:paraId="498CE346" w14:textId="77777777" w:rsidTr="0057167B">
        <w:trPr>
          <w:cantSplit/>
          <w:trHeight w:val="198"/>
        </w:trPr>
        <w:tc>
          <w:tcPr>
            <w:tcW w:w="686" w:type="pct"/>
            <w:vMerge/>
            <w:tcBorders>
              <w:left w:val="single" w:sz="6" w:space="0" w:color="auto"/>
              <w:bottom w:val="single" w:sz="6" w:space="0" w:color="auto"/>
              <w:right w:val="single" w:sz="6" w:space="0" w:color="auto"/>
            </w:tcBorders>
            <w:vAlign w:val="center"/>
          </w:tcPr>
          <w:p w14:paraId="385BB59A" w14:textId="77777777" w:rsidR="00503FDC" w:rsidRPr="00711F12" w:rsidRDefault="00503FDC"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31529E3A" w14:textId="32A042E4"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bl>
    <w:p w14:paraId="0545664B" w14:textId="77777777" w:rsidR="00CA3E3C" w:rsidRPr="00711F12" w:rsidRDefault="00CA3E3C"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781B09D6"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5271F043"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B.2 MATRIZ INGRESOS RECAUDADOS</w:t>
            </w:r>
          </w:p>
        </w:tc>
      </w:tr>
      <w:tr w:rsidR="00503FDC" w:rsidRPr="00711F12" w14:paraId="6D9A3154" w14:textId="77777777" w:rsidTr="00535406">
        <w:trPr>
          <w:cantSplit/>
          <w:trHeight w:val="198"/>
        </w:trPr>
        <w:tc>
          <w:tcPr>
            <w:tcW w:w="686" w:type="pct"/>
            <w:vMerge w:val="restart"/>
            <w:tcBorders>
              <w:top w:val="single" w:sz="6" w:space="0" w:color="auto"/>
              <w:left w:val="single" w:sz="6" w:space="0" w:color="auto"/>
              <w:right w:val="single" w:sz="6" w:space="0" w:color="auto"/>
            </w:tcBorders>
            <w:vAlign w:val="center"/>
          </w:tcPr>
          <w:p w14:paraId="40554C3B" w14:textId="7777777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593F5484" w14:textId="29790E01"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Tipo – CRI 72</w:t>
            </w:r>
          </w:p>
        </w:tc>
      </w:tr>
      <w:tr w:rsidR="00503FDC" w:rsidRPr="00711F12" w14:paraId="5648524A" w14:textId="77777777" w:rsidTr="00535406">
        <w:trPr>
          <w:cantSplit/>
          <w:trHeight w:val="198"/>
        </w:trPr>
        <w:tc>
          <w:tcPr>
            <w:tcW w:w="686" w:type="pct"/>
            <w:vMerge/>
            <w:tcBorders>
              <w:left w:val="single" w:sz="6" w:space="0" w:color="auto"/>
              <w:bottom w:val="single" w:sz="6" w:space="0" w:color="auto"/>
              <w:right w:val="single" w:sz="6" w:space="0" w:color="auto"/>
            </w:tcBorders>
            <w:vAlign w:val="center"/>
          </w:tcPr>
          <w:p w14:paraId="7FCA1566" w14:textId="77777777" w:rsidR="00503FDC" w:rsidRPr="00711F12" w:rsidRDefault="00503FDC"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06A3D5A8" w14:textId="241B01F9"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Productivas del Estado</w:t>
            </w:r>
          </w:p>
        </w:tc>
      </w:tr>
      <w:tr w:rsidR="00503FDC" w:rsidRPr="00711F12" w14:paraId="44036541" w14:textId="77777777" w:rsidTr="00D13997">
        <w:trPr>
          <w:cantSplit/>
          <w:trHeight w:val="198"/>
        </w:trPr>
        <w:tc>
          <w:tcPr>
            <w:tcW w:w="686" w:type="pct"/>
            <w:vMerge w:val="restart"/>
            <w:tcBorders>
              <w:top w:val="single" w:sz="6" w:space="0" w:color="auto"/>
              <w:left w:val="single" w:sz="6" w:space="0" w:color="auto"/>
              <w:right w:val="single" w:sz="6" w:space="0" w:color="auto"/>
            </w:tcBorders>
            <w:vAlign w:val="center"/>
          </w:tcPr>
          <w:p w14:paraId="4F635A80" w14:textId="77777777"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0DEFCFCB" w14:textId="3EF8B371"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Tipo – CRI 72</w:t>
            </w:r>
          </w:p>
        </w:tc>
      </w:tr>
      <w:tr w:rsidR="00503FDC" w:rsidRPr="00711F12" w14:paraId="30329D7A" w14:textId="77777777" w:rsidTr="00D13997">
        <w:trPr>
          <w:cantSplit/>
          <w:trHeight w:val="198"/>
        </w:trPr>
        <w:tc>
          <w:tcPr>
            <w:tcW w:w="686" w:type="pct"/>
            <w:vMerge/>
            <w:tcBorders>
              <w:left w:val="single" w:sz="6" w:space="0" w:color="auto"/>
              <w:bottom w:val="single" w:sz="6" w:space="0" w:color="auto"/>
              <w:right w:val="single" w:sz="6" w:space="0" w:color="auto"/>
            </w:tcBorders>
            <w:vAlign w:val="center"/>
          </w:tcPr>
          <w:p w14:paraId="71B0408E" w14:textId="77777777" w:rsidR="00503FDC" w:rsidRPr="00711F12" w:rsidRDefault="00503FDC"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11A98A7D" w14:textId="6608C3DC" w:rsidR="00503FDC" w:rsidRPr="00711F12" w:rsidRDefault="00503FD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Públicas del Estado</w:t>
            </w:r>
          </w:p>
        </w:tc>
      </w:tr>
    </w:tbl>
    <w:p w14:paraId="51504588" w14:textId="77777777" w:rsidR="00CA3E3C" w:rsidRPr="00711F12" w:rsidRDefault="00CA3E3C" w:rsidP="00733A22">
      <w:pPr>
        <w:pStyle w:val="Texto"/>
        <w:spacing w:after="0" w:line="240" w:lineRule="auto"/>
        <w:ind w:firstLine="0"/>
        <w:rPr>
          <w:rFonts w:ascii="Times New Roman" w:hAnsi="Times New Roman" w:cs="Times New Roman"/>
          <w:b/>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792CF237"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0F8840D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B.3 MATRIZ DE INGRESOS DEVENGADOS Y RECAUDADOS SIMULTÁNEOS</w:t>
            </w:r>
          </w:p>
        </w:tc>
      </w:tr>
      <w:tr w:rsidR="00733A22" w:rsidRPr="00711F12" w14:paraId="19E97F71"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4C550DF5"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452AE6EA" w14:textId="783E965E"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Tipo – CRI 72</w:t>
            </w:r>
          </w:p>
        </w:tc>
      </w:tr>
      <w:tr w:rsidR="00733A22" w:rsidRPr="00711F12" w14:paraId="7219D108"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63F603D3"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6FFDAE6F" w14:textId="58C5C7C5"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Productivas del Estado</w:t>
            </w:r>
          </w:p>
        </w:tc>
      </w:tr>
      <w:tr w:rsidR="00733A22" w:rsidRPr="00711F12" w14:paraId="5E794F54"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2DCAE320"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273CB1AF" w14:textId="6B2F692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Tipo – CRI 72</w:t>
            </w:r>
          </w:p>
        </w:tc>
      </w:tr>
      <w:tr w:rsidR="00733A22" w:rsidRPr="00711F12" w14:paraId="2F0992EA"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3196E3B9"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04AAFF1C" w14:textId="14E1E459"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Públicas del Estado</w:t>
            </w:r>
          </w:p>
        </w:tc>
      </w:tr>
      <w:tr w:rsidR="00733A22" w:rsidRPr="00711F12" w14:paraId="6239BAFA"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6EE531AA"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01457F85" w14:textId="0F6CD693"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733A22" w:rsidRPr="00711F12" w14:paraId="2F172CDE"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60C7829F"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60EAE9C6" w14:textId="5D7085D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Productivas del Estado</w:t>
            </w:r>
          </w:p>
        </w:tc>
      </w:tr>
      <w:tr w:rsidR="00733A22" w:rsidRPr="00711F12" w14:paraId="1A52B984"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5BC6E25C"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6C086D37" w14:textId="2E4A501F"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Abono</w:t>
            </w:r>
          </w:p>
        </w:tc>
      </w:tr>
      <w:tr w:rsidR="00733A22" w:rsidRPr="00711F12" w14:paraId="7B4C8AC3"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33C2BF20"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512B0ADC" w14:textId="73F080F0"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4.1.7.2 Ingresos por Venta de Bienes y Prestación de Servicios de Empresas Públicas del Estado</w:t>
            </w:r>
          </w:p>
        </w:tc>
      </w:tr>
    </w:tbl>
    <w:p w14:paraId="07C91D05" w14:textId="09819AAD" w:rsidR="00733A22" w:rsidRPr="00711F12" w:rsidRDefault="00733A22" w:rsidP="00733A22">
      <w:pPr>
        <w:spacing w:after="0"/>
        <w:rPr>
          <w:rFonts w:ascii="Times New Roman" w:eastAsia="Times New Roman" w:hAnsi="Times New Roman" w:cs="Times New Roman"/>
          <w:b/>
          <w:sz w:val="20"/>
          <w:szCs w:val="20"/>
          <w:lang w:val="es-ES" w:eastAsia="es-ES"/>
        </w:rPr>
      </w:pPr>
      <w:r w:rsidRPr="00711F12">
        <w:rPr>
          <w:rFonts w:ascii="Times New Roman" w:hAnsi="Times New Roman" w:cs="Times New Roman"/>
          <w:b/>
          <w:sz w:val="20"/>
        </w:rPr>
        <w:br w:type="page"/>
      </w:r>
    </w:p>
    <w:p w14:paraId="0BE546F3" w14:textId="1A27E6AC"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lastRenderedPageBreak/>
        <w:t>SEGUNDO.-</w:t>
      </w:r>
      <w:r w:rsidRPr="00711F12">
        <w:rPr>
          <w:rFonts w:ascii="Times New Roman" w:hAnsi="Times New Roman" w:cs="Times New Roman"/>
          <w:sz w:val="20"/>
        </w:rPr>
        <w:t xml:space="preserve"> Se reforman los Criterios para la elaboración y presentación homogénea de la información financiera y de los formatos a que hace referencia la Ley de Disciplina Financiera de las Entidades Federativas y los Municipios, en el Formato 1 Estado de Situación Financiera Detallado – LDF, respecto de la referencia al rubro 3.2.1 Resultado del Ejercicio (Ahorro/Desahorro), conforme lo siguiente:</w:t>
      </w:r>
    </w:p>
    <w:p w14:paraId="76E15E0E" w14:textId="77777777" w:rsidR="00733A22" w:rsidRPr="00711F12" w:rsidRDefault="00733A22"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286"/>
        <w:gridCol w:w="8670"/>
      </w:tblGrid>
      <w:tr w:rsidR="00CA3E3C" w:rsidRPr="00711F12" w14:paraId="2803DBDE" w14:textId="77777777" w:rsidTr="00850EDB">
        <w:trPr>
          <w:cantSplit/>
          <w:trHeight w:val="198"/>
        </w:trPr>
        <w:tc>
          <w:tcPr>
            <w:tcW w:w="5000" w:type="pct"/>
            <w:gridSpan w:val="2"/>
            <w:tcBorders>
              <w:top w:val="single" w:sz="6" w:space="0" w:color="auto"/>
              <w:left w:val="single" w:sz="6" w:space="0" w:color="auto"/>
              <w:bottom w:val="single" w:sz="6" w:space="0" w:color="auto"/>
              <w:right w:val="single" w:sz="6" w:space="0" w:color="auto"/>
            </w:tcBorders>
            <w:noWrap/>
            <w:vAlign w:val="center"/>
          </w:tcPr>
          <w:p w14:paraId="75DF8143"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Formato 1 Estado de Situación Financiera Detallado – LDF</w:t>
            </w:r>
          </w:p>
          <w:p w14:paraId="1A6ECEE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ANEXO 2 “INSTRUCTIVOS DE LLENADO DE LOS FORMATOS”</w:t>
            </w:r>
          </w:p>
        </w:tc>
      </w:tr>
      <w:tr w:rsidR="00CA3E3C" w:rsidRPr="00711F12" w14:paraId="14CC1C30" w14:textId="77777777" w:rsidTr="00850EDB">
        <w:trPr>
          <w:cantSplit/>
          <w:trHeight w:val="198"/>
        </w:trPr>
        <w:tc>
          <w:tcPr>
            <w:tcW w:w="646" w:type="pct"/>
            <w:tcBorders>
              <w:top w:val="single" w:sz="6" w:space="0" w:color="auto"/>
              <w:left w:val="single" w:sz="6" w:space="0" w:color="auto"/>
              <w:bottom w:val="single" w:sz="6" w:space="0" w:color="auto"/>
              <w:right w:val="single" w:sz="6" w:space="0" w:color="auto"/>
            </w:tcBorders>
            <w:vAlign w:val="center"/>
          </w:tcPr>
          <w:p w14:paraId="3716A1B9"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54" w:type="pct"/>
            <w:tcBorders>
              <w:top w:val="single" w:sz="6" w:space="0" w:color="auto"/>
              <w:left w:val="single" w:sz="6" w:space="0" w:color="auto"/>
              <w:bottom w:val="single" w:sz="6" w:space="0" w:color="auto"/>
              <w:right w:val="single" w:sz="6" w:space="0" w:color="auto"/>
            </w:tcBorders>
            <w:vAlign w:val="center"/>
          </w:tcPr>
          <w:p w14:paraId="7A471A62"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Resultados del Ejercicio (Ahorro/Desahorro)</w:t>
            </w:r>
          </w:p>
        </w:tc>
      </w:tr>
      <w:tr w:rsidR="00CA3E3C" w:rsidRPr="00711F12" w14:paraId="46015591" w14:textId="77777777" w:rsidTr="00850EDB">
        <w:trPr>
          <w:cantSplit/>
          <w:trHeight w:val="198"/>
        </w:trPr>
        <w:tc>
          <w:tcPr>
            <w:tcW w:w="646" w:type="pct"/>
            <w:tcBorders>
              <w:top w:val="single" w:sz="6" w:space="0" w:color="auto"/>
              <w:left w:val="single" w:sz="6" w:space="0" w:color="auto"/>
              <w:bottom w:val="single" w:sz="6" w:space="0" w:color="auto"/>
              <w:right w:val="single" w:sz="6" w:space="0" w:color="auto"/>
            </w:tcBorders>
            <w:vAlign w:val="center"/>
          </w:tcPr>
          <w:p w14:paraId="75621734"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Mejora:</w:t>
            </w:r>
          </w:p>
        </w:tc>
        <w:tc>
          <w:tcPr>
            <w:tcW w:w="4354" w:type="pct"/>
            <w:tcBorders>
              <w:top w:val="single" w:sz="6" w:space="0" w:color="auto"/>
              <w:left w:val="single" w:sz="6" w:space="0" w:color="auto"/>
              <w:bottom w:val="single" w:sz="6" w:space="0" w:color="auto"/>
              <w:right w:val="single" w:sz="6" w:space="0" w:color="auto"/>
            </w:tcBorders>
            <w:vAlign w:val="center"/>
          </w:tcPr>
          <w:p w14:paraId="4F2127D1"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color w:val="000000"/>
                <w:sz w:val="20"/>
              </w:rPr>
              <w:t>Resultado del Ejercicio (Ahorro/Desahorro)</w:t>
            </w:r>
          </w:p>
        </w:tc>
      </w:tr>
    </w:tbl>
    <w:p w14:paraId="73FDB5C8"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3C3C70F2" w14:textId="6733BC41"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TERCERO.-</w:t>
      </w:r>
      <w:r w:rsidRPr="00711F12">
        <w:rPr>
          <w:rFonts w:ascii="Times New Roman" w:hAnsi="Times New Roman" w:cs="Times New Roman"/>
          <w:sz w:val="20"/>
        </w:rPr>
        <w:t xml:space="preserve"> Se reforma el Clasificador por Rubros de Ingresos, respecto de la referencia en el Rubro 7. Ingresos por Venta de Bienes, Prestación de Servicios y Otros Ingresos; y los Tipos 72. Ingresos por Venta de Bienes y Prestación de Servicios de Empresas Productivas del Estado, 01 Endeudamiento Interno, y 02 Endeudamiento Externo, que hacen referencia a las Empresas Públicas del Estado, conforme lo siguiente:</w:t>
      </w:r>
    </w:p>
    <w:p w14:paraId="46C9FA88" w14:textId="77777777" w:rsidR="00850EDB" w:rsidRPr="00711F12" w:rsidRDefault="00850EDB"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733A22" w:rsidRPr="00711F12" w14:paraId="5F2509F4" w14:textId="77777777" w:rsidTr="00733A22">
        <w:trPr>
          <w:cantSplit/>
          <w:trHeight w:val="198"/>
        </w:trPr>
        <w:tc>
          <w:tcPr>
            <w:tcW w:w="686" w:type="pct"/>
            <w:vMerge w:val="restart"/>
            <w:tcBorders>
              <w:top w:val="single" w:sz="6" w:space="0" w:color="auto"/>
              <w:left w:val="single" w:sz="6" w:space="0" w:color="auto"/>
              <w:right w:val="single" w:sz="6" w:space="0" w:color="auto"/>
            </w:tcBorders>
            <w:noWrap/>
            <w:vAlign w:val="center"/>
          </w:tcPr>
          <w:p w14:paraId="75C5C283"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01C78AD0" w14:textId="652D82A9"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7. Ingresos por Venta de Bienes, Prestación de Servicios y Otros Ingresos</w:t>
            </w:r>
          </w:p>
        </w:tc>
      </w:tr>
      <w:tr w:rsidR="00733A22" w:rsidRPr="00711F12" w14:paraId="1B97A865" w14:textId="77777777" w:rsidTr="00733A22">
        <w:trPr>
          <w:cantSplit/>
          <w:trHeight w:val="198"/>
        </w:trPr>
        <w:tc>
          <w:tcPr>
            <w:tcW w:w="686" w:type="pct"/>
            <w:vMerge/>
            <w:tcBorders>
              <w:left w:val="single" w:sz="6" w:space="0" w:color="auto"/>
              <w:bottom w:val="single" w:sz="6" w:space="0" w:color="auto"/>
              <w:right w:val="single" w:sz="6" w:space="0" w:color="auto"/>
            </w:tcBorders>
            <w:noWrap/>
            <w:vAlign w:val="center"/>
          </w:tcPr>
          <w:p w14:paraId="4AEF3044"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551B83AF" w14:textId="1DFA8881"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tc>
      </w:tr>
      <w:tr w:rsidR="00733A22" w:rsidRPr="00711F12" w14:paraId="1A6A4735"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2AFBBEEB"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79DFD138" w14:textId="6188B5D5"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7. Ingresos por Venta de Bienes, Prestación de Servicios y Otros Ingresos</w:t>
            </w:r>
          </w:p>
        </w:tc>
      </w:tr>
      <w:tr w:rsidR="00733A22" w:rsidRPr="00711F12" w14:paraId="5D5AEA4C"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7E8BD300"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552A931F" w14:textId="54B4A96F"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Son los ingresos propios obtenidos por las Instituciones Públicas de Seguridad Social, las Empresas Públicas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tc>
      </w:tr>
      <w:tr w:rsidR="00733A22" w:rsidRPr="00711F12" w14:paraId="00086D48"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7A3A8B73"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577D613E" w14:textId="455DD046"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72. Ingresos por Venta de Bienes y Prestación de Servicios de Empresas Productivas del Estado</w:t>
            </w:r>
          </w:p>
        </w:tc>
      </w:tr>
      <w:tr w:rsidR="00733A22" w:rsidRPr="00711F12" w14:paraId="0A53C4E2"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24B065ED"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1E42F8E9" w14:textId="3B0BDFB4"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Son los ingresos propios obtenidos por las Empresas Productivas del Estado por sus actividades de producción, comercialización o prestación de servicios.</w:t>
            </w:r>
          </w:p>
        </w:tc>
      </w:tr>
      <w:tr w:rsidR="00733A22" w:rsidRPr="00711F12" w14:paraId="386922D5"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5E5509E5"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0A74A84C" w14:textId="69339509"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72. Ingresos por Venta de Bienes y Prestación de Servicios de Empresas Públicas del Estado</w:t>
            </w:r>
          </w:p>
        </w:tc>
      </w:tr>
      <w:tr w:rsidR="00733A22" w:rsidRPr="00711F12" w14:paraId="3CC8BF78"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4A7FFC28"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2AF965F2" w14:textId="7AE97826"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Son los ingresos propios obtenidos por las Empresas Públicas del Estado por sus actividades de producción, comercialización o prestación de servicios.</w:t>
            </w:r>
          </w:p>
        </w:tc>
      </w:tr>
      <w:tr w:rsidR="00733A22" w:rsidRPr="00711F12" w14:paraId="42D29A1C"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346A1A33"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5C8DB12B" w14:textId="7572F7DF"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01 Endeudamiento Interno</w:t>
            </w:r>
          </w:p>
        </w:tc>
      </w:tr>
      <w:tr w:rsidR="00733A22" w:rsidRPr="00711F12" w14:paraId="60131287"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3BE32415"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13EC01F0" w14:textId="569C2F5B"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Financiamiento derivado del resultado positivo neto de los recursos que provienen de obligaciones contraídas por los entes públicos y empresas productivas del estado del ámbito federal, considerando lo previsto en la legislación aplicable en la materia, con acreedores nacionales y pagaderos en el interior del país en moneda nacional, incluye el diferimiento de pagos.</w:t>
            </w:r>
          </w:p>
        </w:tc>
      </w:tr>
      <w:tr w:rsidR="00733A22" w:rsidRPr="00711F12" w14:paraId="552CC327"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246EF5B2"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25374A5E" w14:textId="2FBA73E1"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01 Endeudamiento Interno</w:t>
            </w:r>
          </w:p>
        </w:tc>
      </w:tr>
      <w:tr w:rsidR="00733A22" w:rsidRPr="00711F12" w14:paraId="2A12CAD3"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3BE09F52"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334CF2FE" w14:textId="1EFC495F"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Financiamiento derivado del resultado positivo neto de los recursos que provienen de obligaciones contraídas por los entes públicos y empresas públicas del estado del ámbito federal, considerando lo previsto en la legislación aplicable en la materia, con acreedores nacionales y pagaderos en el interior del país en moneda nacional, incluye el diferimiento de pagos.</w:t>
            </w:r>
          </w:p>
        </w:tc>
      </w:tr>
      <w:tr w:rsidR="00733A22" w:rsidRPr="00711F12" w14:paraId="0821F631"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31478231"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right w:val="single" w:sz="6" w:space="0" w:color="auto"/>
            </w:tcBorders>
            <w:vAlign w:val="center"/>
          </w:tcPr>
          <w:p w14:paraId="669BF564" w14:textId="3D8A77F5"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02 Endeudamiento Externo</w:t>
            </w:r>
          </w:p>
        </w:tc>
      </w:tr>
      <w:tr w:rsidR="00733A22" w:rsidRPr="00711F12" w14:paraId="1BBD3788"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75322F05"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2142D39F" w14:textId="0428D92F"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Financiamiento derivado del resultado positivo neto de los recursos que provienen de obligaciones contraídas por los entes públicos y empresas productivas del estado del ámbito federal, considerando lo previsto en la legislación aplicable en la materia, con acreedores extranjeros y pagaderos en el exterior del país en moneda extranjera.</w:t>
            </w:r>
          </w:p>
        </w:tc>
      </w:tr>
      <w:tr w:rsidR="00733A22" w:rsidRPr="00711F12" w14:paraId="1C839092" w14:textId="77777777" w:rsidTr="00733A22">
        <w:trPr>
          <w:cantSplit/>
          <w:trHeight w:val="198"/>
        </w:trPr>
        <w:tc>
          <w:tcPr>
            <w:tcW w:w="686" w:type="pct"/>
            <w:vMerge w:val="restart"/>
            <w:tcBorders>
              <w:top w:val="single" w:sz="6" w:space="0" w:color="auto"/>
              <w:left w:val="single" w:sz="6" w:space="0" w:color="auto"/>
              <w:right w:val="single" w:sz="6" w:space="0" w:color="auto"/>
            </w:tcBorders>
            <w:vAlign w:val="center"/>
          </w:tcPr>
          <w:p w14:paraId="19EE68C1" w14:textId="77777777"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right w:val="single" w:sz="6" w:space="0" w:color="auto"/>
            </w:tcBorders>
            <w:vAlign w:val="center"/>
          </w:tcPr>
          <w:p w14:paraId="20CABB63" w14:textId="604C25CE"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02 Endeudamiento Externo</w:t>
            </w:r>
          </w:p>
        </w:tc>
      </w:tr>
      <w:tr w:rsidR="00733A22" w:rsidRPr="00711F12" w14:paraId="3D8D1C8F" w14:textId="77777777" w:rsidTr="00733A22">
        <w:trPr>
          <w:cantSplit/>
          <w:trHeight w:val="198"/>
        </w:trPr>
        <w:tc>
          <w:tcPr>
            <w:tcW w:w="686" w:type="pct"/>
            <w:vMerge/>
            <w:tcBorders>
              <w:left w:val="single" w:sz="6" w:space="0" w:color="auto"/>
              <w:bottom w:val="single" w:sz="6" w:space="0" w:color="auto"/>
              <w:right w:val="single" w:sz="6" w:space="0" w:color="auto"/>
            </w:tcBorders>
            <w:vAlign w:val="center"/>
          </w:tcPr>
          <w:p w14:paraId="5C77B8E4" w14:textId="77777777" w:rsidR="00733A22" w:rsidRPr="00711F12" w:rsidRDefault="00733A22" w:rsidP="00733A22">
            <w:pPr>
              <w:pStyle w:val="Texto"/>
              <w:spacing w:after="0" w:line="240" w:lineRule="auto"/>
              <w:ind w:firstLine="0"/>
              <w:rPr>
                <w:rFonts w:ascii="Times New Roman" w:hAnsi="Times New Roman" w:cs="Times New Roman"/>
                <w:sz w:val="20"/>
              </w:rPr>
            </w:pPr>
          </w:p>
        </w:tc>
        <w:tc>
          <w:tcPr>
            <w:tcW w:w="4314" w:type="pct"/>
            <w:tcBorders>
              <w:left w:val="single" w:sz="6" w:space="0" w:color="auto"/>
              <w:bottom w:val="single" w:sz="6" w:space="0" w:color="auto"/>
              <w:right w:val="single" w:sz="6" w:space="0" w:color="auto"/>
            </w:tcBorders>
            <w:vAlign w:val="center"/>
          </w:tcPr>
          <w:p w14:paraId="77FCEFEC" w14:textId="698D5C1C" w:rsidR="00733A22" w:rsidRPr="00711F12" w:rsidRDefault="00733A22"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Financiamiento derivado del resultado positivo neto de los recursos que provienen de obligaciones contraídas por los entes públicos y empresas públicas del estado del ámbito federal, considerando lo previsto en la legislación aplicable en la materia, con acreedores extranjeros y pagaderos en el exterior del país en moneda extranjera.</w:t>
            </w:r>
          </w:p>
        </w:tc>
      </w:tr>
    </w:tbl>
    <w:p w14:paraId="7E4DEF14" w14:textId="1F461EC7" w:rsidR="00733A22" w:rsidRPr="00711F12" w:rsidRDefault="00733A22" w:rsidP="00733A22">
      <w:pPr>
        <w:pStyle w:val="Texto"/>
        <w:spacing w:after="0" w:line="240" w:lineRule="auto"/>
        <w:ind w:firstLine="0"/>
        <w:rPr>
          <w:rFonts w:ascii="Times New Roman" w:hAnsi="Times New Roman" w:cs="Times New Roman"/>
          <w:b/>
          <w:sz w:val="20"/>
        </w:rPr>
      </w:pPr>
    </w:p>
    <w:p w14:paraId="60177E59" w14:textId="77777777" w:rsidR="00733A22" w:rsidRPr="00711F12" w:rsidRDefault="00733A22">
      <w:pPr>
        <w:rPr>
          <w:rFonts w:ascii="Times New Roman" w:eastAsia="Times New Roman" w:hAnsi="Times New Roman" w:cs="Times New Roman"/>
          <w:b/>
          <w:sz w:val="20"/>
          <w:szCs w:val="20"/>
          <w:lang w:val="es-ES" w:eastAsia="es-ES"/>
        </w:rPr>
      </w:pPr>
      <w:r w:rsidRPr="00711F12">
        <w:rPr>
          <w:rFonts w:ascii="Times New Roman" w:hAnsi="Times New Roman" w:cs="Times New Roman"/>
          <w:b/>
          <w:sz w:val="20"/>
        </w:rPr>
        <w:br w:type="page"/>
      </w:r>
    </w:p>
    <w:p w14:paraId="0ED9BB65" w14:textId="4D9D02FB"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lastRenderedPageBreak/>
        <w:t>CUARTO.-</w:t>
      </w:r>
      <w:r w:rsidRPr="00711F12">
        <w:rPr>
          <w:rFonts w:ascii="Times New Roman" w:hAnsi="Times New Roman" w:cs="Times New Roman"/>
          <w:sz w:val="20"/>
        </w:rPr>
        <w:t xml:space="preserve"> Se reforma la Norma para armonizar la presentación de la información adicional a la iniciativa de la Ley de Ingresos, respecto de la referencia a las Empresas Públicas del Estado, conforme lo siguiente:</w:t>
      </w:r>
    </w:p>
    <w:p w14:paraId="1B882D47" w14:textId="77777777" w:rsidR="00850EDB" w:rsidRPr="00711F12" w:rsidRDefault="00850EDB"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5C3A0362"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tcPr>
          <w:p w14:paraId="51F6BF2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tcPr>
          <w:p w14:paraId="0210DEA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 xml:space="preserve">Ingresos por Venta de Bienes y Prestación de Servicios de Empresas Productivas del Estado </w:t>
            </w:r>
          </w:p>
        </w:tc>
      </w:tr>
      <w:tr w:rsidR="00CA3E3C" w:rsidRPr="00711F12" w14:paraId="4953A198"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tcPr>
          <w:p w14:paraId="38A09D39"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tcPr>
          <w:p w14:paraId="04BC5D4A"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Públicas del Estado</w:t>
            </w:r>
          </w:p>
        </w:tc>
      </w:tr>
    </w:tbl>
    <w:p w14:paraId="286B2986"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3224C356" w14:textId="523DCB51"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QUINTO.-</w:t>
      </w:r>
      <w:r w:rsidRPr="00711F12">
        <w:rPr>
          <w:rFonts w:ascii="Times New Roman" w:hAnsi="Times New Roman" w:cs="Times New Roman"/>
          <w:sz w:val="20"/>
        </w:rPr>
        <w:t xml:space="preserve"> Se reforma la Norma para establecer la estructura del Calendario de Ingresos base mensual, respecto de la referencia a las Empresas Públicas del Estado, conforme lo siguiente:</w:t>
      </w:r>
    </w:p>
    <w:p w14:paraId="27ADCA0E" w14:textId="77777777" w:rsidR="00850EDB" w:rsidRPr="00711F12" w:rsidRDefault="00850EDB"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60609966"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tcPr>
          <w:p w14:paraId="476682E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tcPr>
          <w:p w14:paraId="42B978EB"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 xml:space="preserve">Ingresos por Venta de Bienes y Prestación de Servicios de Empresas Productivas del Estado </w:t>
            </w:r>
          </w:p>
        </w:tc>
      </w:tr>
      <w:tr w:rsidR="00CA3E3C" w:rsidRPr="00711F12" w14:paraId="03DE9F06"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tcPr>
          <w:p w14:paraId="74E9C993"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tcPr>
          <w:p w14:paraId="47E6FF58"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Ingresos por Venta de Bienes y Prestación de Servicios de Empresas Públicas del Estado</w:t>
            </w:r>
          </w:p>
        </w:tc>
      </w:tr>
    </w:tbl>
    <w:p w14:paraId="4E93AE25"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0E876AAC" w14:textId="128CAE3E"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SEXTO.-</w:t>
      </w:r>
      <w:r w:rsidRPr="00711F12">
        <w:rPr>
          <w:rFonts w:ascii="Times New Roman" w:hAnsi="Times New Roman" w:cs="Times New Roman"/>
          <w:sz w:val="20"/>
        </w:rPr>
        <w:t xml:space="preserve"> Se reforman los Parámetros de Estimación de Vida Útil, respecto de la referencia a las Reglas de Registro y Valuación del Patrimonio, conforme lo siguiente:</w:t>
      </w:r>
    </w:p>
    <w:p w14:paraId="3A052A1C" w14:textId="77777777" w:rsidR="00850EDB" w:rsidRPr="00711F12" w:rsidRDefault="00850EDB"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066BE0CD"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7C13F284"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244BAE56"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Principales Reglas de Registro y Valoración del Patrimonio (Elementos Generales)</w:t>
            </w:r>
          </w:p>
        </w:tc>
      </w:tr>
      <w:tr w:rsidR="00CA3E3C" w:rsidRPr="00711F12" w14:paraId="7DC3F19B"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739BDDDA"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3D9AFC0A"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Reglas de Registro y Valuación del Patrimonio</w:t>
            </w:r>
          </w:p>
        </w:tc>
      </w:tr>
    </w:tbl>
    <w:p w14:paraId="6118CFAD"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0FE4102B" w14:textId="732D46BD"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SÉPTIMO.-</w:t>
      </w:r>
      <w:r w:rsidRPr="00711F12">
        <w:rPr>
          <w:rFonts w:ascii="Times New Roman" w:hAnsi="Times New Roman" w:cs="Times New Roman"/>
          <w:sz w:val="20"/>
        </w:rPr>
        <w:t xml:space="preserve"> Se reforman los Lineamientos dirigidos a asegurar que el Sistema de Contabilidad Gubernamental facilite el Registro y Control de los Inventarios de los Bienes Muebles e Inmuebles de los Entes Públicos, respecto de la referencia a las Reglas de Registro y Valuación del Patrimonio, conforme lo siguiente:</w:t>
      </w:r>
    </w:p>
    <w:p w14:paraId="2AFFC74F" w14:textId="77777777" w:rsidR="00850EDB" w:rsidRPr="00711F12" w:rsidRDefault="00850EDB"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2A3098DF"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3B4CFFD0"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13FE9F43"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Principales Reglas de Registro y Valoración del Patrimonio (Elementos Generales)</w:t>
            </w:r>
          </w:p>
        </w:tc>
      </w:tr>
      <w:tr w:rsidR="00CA3E3C" w:rsidRPr="00711F12" w14:paraId="28B698C6"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25655A16"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3C3DC4E0"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Reglas de Registro y Valuación del Patrimonio</w:t>
            </w:r>
          </w:p>
        </w:tc>
      </w:tr>
    </w:tbl>
    <w:p w14:paraId="000F9DC7"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72249775" w14:textId="318DE4E9"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OCTAVO.-</w:t>
      </w:r>
      <w:r w:rsidRPr="00711F12">
        <w:rPr>
          <w:rFonts w:ascii="Times New Roman" w:hAnsi="Times New Roman" w:cs="Times New Roman"/>
          <w:sz w:val="20"/>
        </w:rPr>
        <w:t xml:space="preserve"> Se reforman los Lineamientos para la elaboración del Catálogo de Bienes Inmuebles que permita la interrelación automática con el Clasificador por Objeto del Gasto y la Lista de Cuentas, respecto de la referencia a las Reglas de Registro y Valuación del Patrimonio, conforme lo siguiente:</w:t>
      </w:r>
    </w:p>
    <w:p w14:paraId="2B9395DD" w14:textId="77777777" w:rsidR="00850EDB" w:rsidRPr="00711F12" w:rsidRDefault="00850EDB"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09722D2D"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00D35E3E"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47D31FA7"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Reglas Específicas del Registro y Valoración del Patrimonio</w:t>
            </w:r>
          </w:p>
        </w:tc>
      </w:tr>
      <w:tr w:rsidR="00CA3E3C" w:rsidRPr="00711F12" w14:paraId="1ED530A5"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7C3BDEAD"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1FDA900E"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Reglas de Registro y Valuación del Patrimonio</w:t>
            </w:r>
          </w:p>
        </w:tc>
      </w:tr>
    </w:tbl>
    <w:p w14:paraId="73B7EF52" w14:textId="77777777" w:rsidR="00CA3E3C" w:rsidRPr="00711F12" w:rsidRDefault="00CA3E3C" w:rsidP="00733A22">
      <w:pPr>
        <w:pStyle w:val="Texto"/>
        <w:spacing w:after="0" w:line="240" w:lineRule="auto"/>
        <w:ind w:firstLine="0"/>
        <w:rPr>
          <w:rFonts w:ascii="Times New Roman" w:hAnsi="Times New Roman" w:cs="Times New Roman"/>
          <w:b/>
          <w:sz w:val="20"/>
        </w:rPr>
      </w:pPr>
    </w:p>
    <w:p w14:paraId="726524A2" w14:textId="57E9033E"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NOVENO.-</w:t>
      </w:r>
      <w:r w:rsidRPr="00711F12">
        <w:rPr>
          <w:rFonts w:ascii="Times New Roman" w:hAnsi="Times New Roman" w:cs="Times New Roman"/>
          <w:sz w:val="20"/>
        </w:rPr>
        <w:t xml:space="preserve"> Se reforma el Acuerdo por el que se armoniza la estructura de las cuentas públicas, respecto de la referencia a las Empresas Públicas del Estado, conforme lo siguiente:</w:t>
      </w:r>
    </w:p>
    <w:p w14:paraId="212E5810" w14:textId="77777777" w:rsidR="00850EDB" w:rsidRPr="00711F12" w:rsidRDefault="00850EDB" w:rsidP="00733A22">
      <w:pPr>
        <w:pStyle w:val="Texto"/>
        <w:spacing w:after="0" w:line="240" w:lineRule="auto"/>
        <w:ind w:firstLine="0"/>
        <w:rPr>
          <w:rFonts w:ascii="Times New Roman" w:hAnsi="Times New Roman" w:cs="Times New Roman"/>
          <w:sz w:val="20"/>
        </w:rPr>
      </w:pPr>
    </w:p>
    <w:tbl>
      <w:tblPr>
        <w:tblW w:w="5000" w:type="pct"/>
        <w:tblLayout w:type="fixed"/>
        <w:tblCellMar>
          <w:left w:w="72" w:type="dxa"/>
          <w:right w:w="72" w:type="dxa"/>
        </w:tblCellMar>
        <w:tblLook w:val="0000" w:firstRow="0" w:lastRow="0" w:firstColumn="0" w:lastColumn="0" w:noHBand="0" w:noVBand="0"/>
      </w:tblPr>
      <w:tblGrid>
        <w:gridCol w:w="1366"/>
        <w:gridCol w:w="8590"/>
      </w:tblGrid>
      <w:tr w:rsidR="00CA3E3C" w:rsidRPr="00711F12" w14:paraId="1CD87B02"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noWrap/>
            <w:vAlign w:val="center"/>
          </w:tcPr>
          <w:p w14:paraId="2D3B40D5"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Dice:</w:t>
            </w:r>
          </w:p>
        </w:tc>
        <w:tc>
          <w:tcPr>
            <w:tcW w:w="4314" w:type="pct"/>
            <w:tcBorders>
              <w:top w:val="single" w:sz="6" w:space="0" w:color="auto"/>
              <w:left w:val="single" w:sz="6" w:space="0" w:color="auto"/>
              <w:bottom w:val="single" w:sz="6" w:space="0" w:color="auto"/>
              <w:right w:val="single" w:sz="6" w:space="0" w:color="auto"/>
            </w:tcBorders>
            <w:vAlign w:val="center"/>
          </w:tcPr>
          <w:p w14:paraId="5532E719"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a.3. Empresas Productivas del Estado</w:t>
            </w:r>
          </w:p>
        </w:tc>
      </w:tr>
      <w:tr w:rsidR="00CA3E3C" w:rsidRPr="00711F12" w14:paraId="5082E714" w14:textId="77777777" w:rsidTr="00850EDB">
        <w:trPr>
          <w:cantSplit/>
          <w:trHeight w:val="198"/>
        </w:trPr>
        <w:tc>
          <w:tcPr>
            <w:tcW w:w="686" w:type="pct"/>
            <w:tcBorders>
              <w:top w:val="single" w:sz="6" w:space="0" w:color="auto"/>
              <w:left w:val="single" w:sz="6" w:space="0" w:color="auto"/>
              <w:bottom w:val="single" w:sz="6" w:space="0" w:color="auto"/>
              <w:right w:val="single" w:sz="6" w:space="0" w:color="auto"/>
            </w:tcBorders>
            <w:vAlign w:val="center"/>
          </w:tcPr>
          <w:p w14:paraId="37F3B5C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Modificación:</w:t>
            </w:r>
          </w:p>
        </w:tc>
        <w:tc>
          <w:tcPr>
            <w:tcW w:w="4314" w:type="pct"/>
            <w:tcBorders>
              <w:top w:val="single" w:sz="6" w:space="0" w:color="auto"/>
              <w:left w:val="single" w:sz="6" w:space="0" w:color="auto"/>
              <w:bottom w:val="single" w:sz="6" w:space="0" w:color="auto"/>
              <w:right w:val="single" w:sz="6" w:space="0" w:color="auto"/>
            </w:tcBorders>
            <w:vAlign w:val="center"/>
          </w:tcPr>
          <w:p w14:paraId="1B92242F"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t>a.3. Empresas Públicas del Estado</w:t>
            </w:r>
          </w:p>
        </w:tc>
      </w:tr>
    </w:tbl>
    <w:p w14:paraId="1BB03E05" w14:textId="77777777" w:rsidR="00850EDB" w:rsidRPr="00711F12" w:rsidRDefault="00850EDB" w:rsidP="00733A22">
      <w:pPr>
        <w:pStyle w:val="ANOTACION"/>
        <w:spacing w:before="0" w:after="0" w:line="240" w:lineRule="auto"/>
        <w:jc w:val="left"/>
        <w:rPr>
          <w:sz w:val="20"/>
        </w:rPr>
      </w:pPr>
    </w:p>
    <w:p w14:paraId="018E4CA0" w14:textId="09F51EEE" w:rsidR="00CA3E3C" w:rsidRPr="00711F12" w:rsidRDefault="00CA3E3C" w:rsidP="00733A22">
      <w:pPr>
        <w:pStyle w:val="ANOTACION"/>
        <w:spacing w:before="0" w:after="0" w:line="240" w:lineRule="auto"/>
        <w:rPr>
          <w:sz w:val="20"/>
        </w:rPr>
      </w:pPr>
      <w:r w:rsidRPr="00711F12">
        <w:rPr>
          <w:sz w:val="20"/>
        </w:rPr>
        <w:t>TRANSITORIOS</w:t>
      </w:r>
    </w:p>
    <w:p w14:paraId="0DB766F4"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4B1E57E9" w14:textId="53480A13"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PRIMERO.-</w:t>
      </w:r>
      <w:r w:rsidRPr="00711F12">
        <w:rPr>
          <w:rFonts w:ascii="Times New Roman" w:hAnsi="Times New Roman" w:cs="Times New Roman"/>
          <w:sz w:val="20"/>
        </w:rPr>
        <w:t xml:space="preserve"> El presente Acuerdo entrará en vigor al día siguiente al de su publicación en el Diario Oficial de la Federación.</w:t>
      </w:r>
    </w:p>
    <w:p w14:paraId="27855E7C"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661F71EA" w14:textId="37007496"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SEGUNDO.-</w:t>
      </w:r>
      <w:r w:rsidRPr="00711F12">
        <w:rPr>
          <w:rFonts w:ascii="Times New Roman" w:hAnsi="Times New Roman" w:cs="Times New Roman"/>
          <w:sz w:val="20"/>
        </w:rPr>
        <w:t xml:space="preserve"> Las Entidades Federativas, en cumplimiento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p>
    <w:p w14:paraId="3AFD1455" w14:textId="77777777" w:rsidR="00850EDB" w:rsidRPr="00711F12" w:rsidRDefault="00850EDB" w:rsidP="00733A22">
      <w:pPr>
        <w:pStyle w:val="Texto"/>
        <w:spacing w:after="0" w:line="240" w:lineRule="auto"/>
        <w:ind w:firstLine="0"/>
        <w:rPr>
          <w:rFonts w:ascii="Times New Roman" w:hAnsi="Times New Roman" w:cs="Times New Roman"/>
          <w:b/>
          <w:sz w:val="20"/>
        </w:rPr>
      </w:pPr>
    </w:p>
    <w:p w14:paraId="5F62155E" w14:textId="4286732B"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b/>
          <w:sz w:val="20"/>
        </w:rPr>
        <w:t>TERCERO.-</w:t>
      </w:r>
      <w:r w:rsidRPr="00711F12">
        <w:rPr>
          <w:rFonts w:ascii="Times New Roman" w:hAnsi="Times New Roman" w:cs="Times New Roman"/>
          <w:sz w:val="20"/>
        </w:rPr>
        <w:t xml:space="preserve"> 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 Para tales efectos, los Consejos de Armonización Contable de las Entidades Federativas remitirán a la Secretaría Técnica la información relacionada con dichos actos a la dirección electrónica conac_sriotecnico@hacienda.gob.mx, dentro de un plazo de 15 días hábiles contados a partir de la conclusión del plazo fijado en el transitorio anterior.</w:t>
      </w:r>
    </w:p>
    <w:p w14:paraId="10EEDF7D" w14:textId="00B0C169" w:rsidR="00A746F9" w:rsidRPr="00711F12" w:rsidRDefault="00A746F9">
      <w:pPr>
        <w:rPr>
          <w:rFonts w:ascii="Times New Roman" w:eastAsia="Times New Roman" w:hAnsi="Times New Roman" w:cs="Times New Roman"/>
          <w:sz w:val="20"/>
          <w:szCs w:val="20"/>
          <w:lang w:val="es-ES" w:eastAsia="es-ES"/>
        </w:rPr>
      </w:pPr>
      <w:r w:rsidRPr="00711F12">
        <w:rPr>
          <w:rFonts w:ascii="Times New Roman" w:hAnsi="Times New Roman" w:cs="Times New Roman"/>
          <w:sz w:val="20"/>
        </w:rPr>
        <w:br w:type="page"/>
      </w:r>
    </w:p>
    <w:p w14:paraId="50DA9E8C" w14:textId="77777777" w:rsidR="00CA3E3C" w:rsidRPr="00711F12" w:rsidRDefault="00CA3E3C" w:rsidP="00733A22">
      <w:pPr>
        <w:pStyle w:val="Texto"/>
        <w:spacing w:after="0" w:line="240" w:lineRule="auto"/>
        <w:ind w:firstLine="0"/>
        <w:rPr>
          <w:rFonts w:ascii="Times New Roman" w:hAnsi="Times New Roman" w:cs="Times New Roman"/>
          <w:sz w:val="20"/>
        </w:rPr>
      </w:pPr>
      <w:r w:rsidRPr="00711F12">
        <w:rPr>
          <w:rFonts w:ascii="Times New Roman" w:hAnsi="Times New Roman" w:cs="Times New Roman"/>
          <w:sz w:val="20"/>
        </w:rPr>
        <w:lastRenderedPageBreak/>
        <w:t xml:space="preserve">En la Ciudad de México, siendo las catorce horas del día 25 de noviembre del año dos mil veinticinco, con fundamento en los artículos 11 de la Ley General de Contabilidad Gubernamental; 8 fracción IV y 23 fracción IX del Reglamento Interior de la Secretaría de Hacienda y Crédito Público y regla 20 de las Reglas de Operación del Consejo Nacional de Armonización Contable, el Titular de la Unidad de Contabilidad Gubernamental de la Subsecretaría de Egresos de la Secretaría de Hacienda y Crédito Público, en mi calidad de Secretario Técnico del Consejo Nacional de Armonización Contable, </w:t>
      </w:r>
      <w:r w:rsidRPr="00711F12">
        <w:rPr>
          <w:rFonts w:ascii="Times New Roman" w:hAnsi="Times New Roman" w:cs="Times New Roman"/>
          <w:b/>
          <w:sz w:val="20"/>
        </w:rPr>
        <w:t>HAGO CONSTAR Y CERTIFICO</w:t>
      </w:r>
      <w:r w:rsidRPr="00711F12">
        <w:rPr>
          <w:rFonts w:ascii="Times New Roman" w:hAnsi="Times New Roman" w:cs="Times New Roman"/>
          <w:sz w:val="20"/>
        </w:rPr>
        <w:t xml:space="preserve"> que el documento consistente en 7 fojas útiles, rubricadas y cotejadas, corresponde con el texto del Acuerdo por el que se reforman diversos documentos aprobados por el CONAC, mismo que estuvo a la vista de los integrantes de dicho Consejo en su tercera sesión celebrada, en primera convocatoria, el 25 de noviembre del presente año, situación que se certifica para los efectos legales conducentes.- El Secretario Técnico del Consejo Nacional de Armonización Contable, Mtro. </w:t>
      </w:r>
      <w:r w:rsidRPr="00711F12">
        <w:rPr>
          <w:rFonts w:ascii="Times New Roman" w:hAnsi="Times New Roman" w:cs="Times New Roman"/>
          <w:b/>
          <w:sz w:val="20"/>
        </w:rPr>
        <w:t>Gerardo Almonte López</w:t>
      </w:r>
      <w:r w:rsidRPr="00711F12">
        <w:rPr>
          <w:rFonts w:ascii="Times New Roman" w:hAnsi="Times New Roman" w:cs="Times New Roman"/>
          <w:sz w:val="20"/>
        </w:rPr>
        <w:t>.- Rúbrica.</w:t>
      </w:r>
    </w:p>
    <w:p w14:paraId="5201F4B3" w14:textId="56A1F446" w:rsidR="007C2CE5" w:rsidRPr="00711F12" w:rsidRDefault="007C2CE5" w:rsidP="00733A22">
      <w:pPr>
        <w:spacing w:after="0" w:line="240" w:lineRule="auto"/>
        <w:jc w:val="both"/>
        <w:rPr>
          <w:rFonts w:ascii="Times New Roman" w:hAnsi="Times New Roman" w:cs="Times New Roman"/>
          <w:sz w:val="20"/>
          <w:szCs w:val="20"/>
        </w:rPr>
      </w:pPr>
    </w:p>
    <w:p w14:paraId="5BD4702E" w14:textId="77777777" w:rsidR="00C06C6A" w:rsidRPr="00711F12" w:rsidRDefault="00C06C6A" w:rsidP="00733A22">
      <w:pPr>
        <w:spacing w:after="0" w:line="240" w:lineRule="auto"/>
        <w:jc w:val="center"/>
        <w:rPr>
          <w:rFonts w:ascii="Times New Roman" w:hAnsi="Times New Roman" w:cs="Times New Roman"/>
          <w:b/>
          <w:sz w:val="20"/>
          <w:szCs w:val="20"/>
          <w:lang w:val="es-ES"/>
        </w:rPr>
      </w:pPr>
      <w:r w:rsidRPr="00711F12">
        <w:rPr>
          <w:rFonts w:ascii="Times New Roman" w:hAnsi="Times New Roman" w:cs="Times New Roman"/>
          <w:b/>
          <w:sz w:val="20"/>
          <w:szCs w:val="20"/>
          <w:lang w:val="es-ES"/>
        </w:rPr>
        <w:t>Transitorios</w:t>
      </w:r>
    </w:p>
    <w:p w14:paraId="7FE06A20"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5F545BFD" w14:textId="77777777" w:rsidR="00C06C6A" w:rsidRPr="00711F12" w:rsidRDefault="00C06C6A" w:rsidP="00733A22">
      <w:pPr>
        <w:spacing w:after="0" w:line="240" w:lineRule="auto"/>
        <w:jc w:val="both"/>
        <w:rPr>
          <w:rFonts w:ascii="Times New Roman" w:hAnsi="Times New Roman" w:cs="Times New Roman"/>
          <w:sz w:val="20"/>
          <w:szCs w:val="20"/>
          <w:lang w:val="es-ES"/>
        </w:rPr>
      </w:pPr>
      <w:r w:rsidRPr="00711F12">
        <w:rPr>
          <w:rFonts w:ascii="Times New Roman" w:hAnsi="Times New Roman" w:cs="Times New Roman"/>
          <w:b/>
          <w:sz w:val="20"/>
          <w:szCs w:val="20"/>
          <w:lang w:val="es-ES"/>
        </w:rPr>
        <w:t>PRIMERO:</w:t>
      </w:r>
      <w:r w:rsidRPr="00711F12">
        <w:rPr>
          <w:rFonts w:ascii="Times New Roman" w:hAnsi="Times New Roman" w:cs="Times New Roman"/>
          <w:sz w:val="20"/>
          <w:szCs w:val="20"/>
          <w:lang w:val="es-ES"/>
        </w:rPr>
        <w:t xml:space="preserve"> Publíquese en la Gaceta Oficial de la Ciudad de México, para su debida observancia y aplicación.</w:t>
      </w:r>
    </w:p>
    <w:p w14:paraId="4259D73F"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0BA359AA" w14:textId="363D15AB" w:rsidR="00C06C6A" w:rsidRPr="00711F12" w:rsidRDefault="00C06C6A" w:rsidP="00733A22">
      <w:pPr>
        <w:spacing w:after="0" w:line="240" w:lineRule="auto"/>
        <w:jc w:val="both"/>
        <w:rPr>
          <w:rFonts w:ascii="Times New Roman" w:hAnsi="Times New Roman" w:cs="Times New Roman"/>
          <w:b/>
          <w:sz w:val="20"/>
          <w:szCs w:val="20"/>
        </w:rPr>
      </w:pPr>
      <w:r w:rsidRPr="009032F2">
        <w:rPr>
          <w:rFonts w:ascii="Times New Roman" w:hAnsi="Times New Roman" w:cs="Times New Roman"/>
          <w:b/>
          <w:sz w:val="20"/>
          <w:szCs w:val="20"/>
          <w:lang w:val="es-ES"/>
        </w:rPr>
        <w:t>SEGUNDO:</w:t>
      </w:r>
      <w:r w:rsidRPr="009032F2">
        <w:rPr>
          <w:rFonts w:ascii="Times New Roman" w:hAnsi="Times New Roman" w:cs="Times New Roman"/>
          <w:sz w:val="20"/>
          <w:szCs w:val="20"/>
          <w:lang w:val="es-ES"/>
        </w:rPr>
        <w:t xml:space="preserve"> El presente</w:t>
      </w:r>
      <w:r w:rsidR="00957F03" w:rsidRPr="009032F2">
        <w:rPr>
          <w:rFonts w:ascii="Times New Roman" w:hAnsi="Times New Roman" w:cs="Times New Roman"/>
          <w:sz w:val="20"/>
          <w:szCs w:val="20"/>
        </w:rPr>
        <w:t xml:space="preserve"> </w:t>
      </w:r>
      <w:r w:rsidR="00850EDB" w:rsidRPr="009032F2">
        <w:rPr>
          <w:rFonts w:ascii="Times New Roman" w:hAnsi="Times New Roman" w:cs="Times New Roman"/>
          <w:sz w:val="20"/>
          <w:szCs w:val="20"/>
          <w:lang w:val="es-ES"/>
        </w:rPr>
        <w:t>Aviso por el cual se da a conocer las Reformas a Diversos Documentos Aprobados por el CONAC</w:t>
      </w:r>
      <w:r w:rsidRPr="009032F2">
        <w:rPr>
          <w:rFonts w:ascii="Times New Roman" w:hAnsi="Times New Roman" w:cs="Times New Roman"/>
          <w:bCs/>
          <w:sz w:val="20"/>
          <w:szCs w:val="20"/>
          <w:lang w:val="es-ES"/>
        </w:rPr>
        <w:t>,</w:t>
      </w:r>
      <w:r w:rsidRPr="00711F12">
        <w:rPr>
          <w:rFonts w:ascii="Times New Roman" w:hAnsi="Times New Roman" w:cs="Times New Roman"/>
          <w:sz w:val="20"/>
          <w:szCs w:val="20"/>
          <w:lang w:val="es-ES"/>
        </w:rPr>
        <w:t xml:space="preserve"> iniciará su vigencia el día siguiente a su publicación en la Gaceta Oficial de la Ciudad de México</w:t>
      </w:r>
      <w:r w:rsidR="00C42453" w:rsidRPr="00711F12">
        <w:rPr>
          <w:rFonts w:ascii="Times New Roman" w:hAnsi="Times New Roman" w:cs="Times New Roman"/>
          <w:sz w:val="20"/>
          <w:szCs w:val="20"/>
          <w:lang w:val="es-ES"/>
        </w:rPr>
        <w:t>.</w:t>
      </w:r>
    </w:p>
    <w:p w14:paraId="14B39711"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48B72584" w14:textId="1F0B60CD" w:rsidR="00C06C6A" w:rsidRPr="00711F12" w:rsidRDefault="00C06C6A" w:rsidP="00606145">
      <w:pPr>
        <w:spacing w:after="0" w:line="240" w:lineRule="auto"/>
        <w:jc w:val="center"/>
        <w:rPr>
          <w:rFonts w:ascii="Times New Roman" w:hAnsi="Times New Roman" w:cs="Times New Roman"/>
          <w:sz w:val="20"/>
          <w:szCs w:val="20"/>
          <w:lang w:val="es-ES"/>
        </w:rPr>
      </w:pPr>
      <w:r w:rsidRPr="00711F12">
        <w:rPr>
          <w:rFonts w:ascii="Times New Roman" w:hAnsi="Times New Roman" w:cs="Times New Roman"/>
          <w:sz w:val="20"/>
          <w:szCs w:val="20"/>
          <w:lang w:val="es-ES"/>
        </w:rPr>
        <w:t>Ciudad de México,</w:t>
      </w:r>
      <w:r w:rsidR="002016CC" w:rsidRPr="00711F12">
        <w:rPr>
          <w:rFonts w:ascii="Times New Roman" w:hAnsi="Times New Roman" w:cs="Times New Roman"/>
          <w:sz w:val="20"/>
          <w:szCs w:val="20"/>
          <w:lang w:val="es-ES"/>
        </w:rPr>
        <w:t xml:space="preserve"> a </w:t>
      </w:r>
      <w:r w:rsidR="00E31F0E">
        <w:rPr>
          <w:rFonts w:ascii="Times New Roman" w:hAnsi="Times New Roman" w:cs="Times New Roman"/>
          <w:sz w:val="20"/>
          <w:szCs w:val="20"/>
          <w:lang w:val="es-ES"/>
        </w:rPr>
        <w:t>05</w:t>
      </w:r>
      <w:r w:rsidR="00B564E4" w:rsidRPr="00711F12">
        <w:rPr>
          <w:rFonts w:ascii="Times New Roman" w:hAnsi="Times New Roman" w:cs="Times New Roman"/>
          <w:sz w:val="20"/>
          <w:szCs w:val="20"/>
          <w:lang w:val="es-ES"/>
        </w:rPr>
        <w:t xml:space="preserve"> </w:t>
      </w:r>
      <w:r w:rsidRPr="00711F12">
        <w:rPr>
          <w:rFonts w:ascii="Times New Roman" w:hAnsi="Times New Roman" w:cs="Times New Roman"/>
          <w:sz w:val="20"/>
          <w:szCs w:val="20"/>
          <w:lang w:val="es-ES"/>
        </w:rPr>
        <w:t xml:space="preserve">de </w:t>
      </w:r>
      <w:r w:rsidR="003A680E">
        <w:rPr>
          <w:rFonts w:ascii="Times New Roman" w:hAnsi="Times New Roman" w:cs="Times New Roman"/>
          <w:sz w:val="20"/>
          <w:szCs w:val="20"/>
          <w:lang w:val="es-ES"/>
        </w:rPr>
        <w:t>enero</w:t>
      </w:r>
      <w:r w:rsidR="00C42453" w:rsidRPr="00711F12">
        <w:rPr>
          <w:rFonts w:ascii="Times New Roman" w:hAnsi="Times New Roman" w:cs="Times New Roman"/>
          <w:sz w:val="20"/>
          <w:szCs w:val="20"/>
          <w:lang w:val="es-ES"/>
        </w:rPr>
        <w:t xml:space="preserve"> de</w:t>
      </w:r>
      <w:r w:rsidRPr="00711F12">
        <w:rPr>
          <w:rFonts w:ascii="Times New Roman" w:hAnsi="Times New Roman" w:cs="Times New Roman"/>
          <w:sz w:val="20"/>
          <w:szCs w:val="20"/>
          <w:lang w:val="es-ES"/>
        </w:rPr>
        <w:t xml:space="preserve"> 202</w:t>
      </w:r>
      <w:r w:rsidR="003A680E">
        <w:rPr>
          <w:rFonts w:ascii="Times New Roman" w:hAnsi="Times New Roman" w:cs="Times New Roman"/>
          <w:sz w:val="20"/>
          <w:szCs w:val="20"/>
          <w:lang w:val="es-ES"/>
        </w:rPr>
        <w:t>6</w:t>
      </w:r>
      <w:r w:rsidRPr="00711F12">
        <w:rPr>
          <w:rFonts w:ascii="Times New Roman" w:hAnsi="Times New Roman" w:cs="Times New Roman"/>
          <w:sz w:val="20"/>
          <w:szCs w:val="20"/>
          <w:lang w:val="es-ES"/>
        </w:rPr>
        <w:t>.</w:t>
      </w:r>
    </w:p>
    <w:p w14:paraId="35271797"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37C0BF24"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7871A643"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3B043E8B" w14:textId="77777777" w:rsidR="00C06C6A" w:rsidRPr="00711F12" w:rsidRDefault="00C06C6A" w:rsidP="00733A22">
      <w:pPr>
        <w:spacing w:after="0" w:line="240" w:lineRule="auto"/>
        <w:jc w:val="both"/>
        <w:rPr>
          <w:rFonts w:ascii="Times New Roman" w:hAnsi="Times New Roman" w:cs="Times New Roman"/>
          <w:sz w:val="20"/>
          <w:szCs w:val="20"/>
          <w:lang w:val="es-ES"/>
        </w:rPr>
      </w:pPr>
    </w:p>
    <w:p w14:paraId="2CE02B0C" w14:textId="106C45B1" w:rsidR="00C06C6A" w:rsidRPr="00711F12" w:rsidRDefault="00C06C6A" w:rsidP="00733A22">
      <w:pPr>
        <w:spacing w:after="0" w:line="240" w:lineRule="auto"/>
        <w:jc w:val="center"/>
        <w:rPr>
          <w:rFonts w:ascii="Times New Roman" w:hAnsi="Times New Roman" w:cs="Times New Roman"/>
          <w:b/>
          <w:sz w:val="20"/>
          <w:szCs w:val="20"/>
          <w:lang w:val="es-ES"/>
        </w:rPr>
      </w:pPr>
      <w:r w:rsidRPr="00711F12">
        <w:rPr>
          <w:rFonts w:ascii="Times New Roman" w:hAnsi="Times New Roman" w:cs="Times New Roman"/>
          <w:b/>
          <w:sz w:val="20"/>
          <w:szCs w:val="20"/>
          <w:lang w:val="es-ES"/>
        </w:rPr>
        <w:t>Act. María del Carmen Moreno Ramírez</w:t>
      </w:r>
    </w:p>
    <w:p w14:paraId="2EE028F4" w14:textId="77777777" w:rsidR="00C06C6A" w:rsidRPr="00711F12" w:rsidRDefault="00C06C6A" w:rsidP="00733A22">
      <w:pPr>
        <w:spacing w:after="0" w:line="240" w:lineRule="auto"/>
        <w:jc w:val="center"/>
        <w:rPr>
          <w:rFonts w:ascii="Times New Roman" w:hAnsi="Times New Roman" w:cs="Times New Roman"/>
          <w:sz w:val="20"/>
          <w:szCs w:val="20"/>
          <w:lang w:val="es-ES"/>
        </w:rPr>
      </w:pPr>
      <w:r w:rsidRPr="00711F12">
        <w:rPr>
          <w:rFonts w:ascii="Times New Roman" w:hAnsi="Times New Roman" w:cs="Times New Roman"/>
          <w:sz w:val="20"/>
          <w:szCs w:val="20"/>
          <w:lang w:val="es-ES"/>
        </w:rPr>
        <w:t>Directora General de Armonización Contable y Rendición de Cuentas y Secretaria Técnica del</w:t>
      </w:r>
    </w:p>
    <w:p w14:paraId="68839DCA" w14:textId="271BDC32" w:rsidR="00957F03" w:rsidRPr="00711F12" w:rsidRDefault="00C06C6A" w:rsidP="00733A22">
      <w:pPr>
        <w:spacing w:after="0" w:line="240" w:lineRule="auto"/>
        <w:jc w:val="center"/>
        <w:rPr>
          <w:rFonts w:ascii="Times New Roman" w:hAnsi="Times New Roman" w:cs="Times New Roman"/>
          <w:sz w:val="20"/>
          <w:szCs w:val="20"/>
          <w:lang w:val="es-ES"/>
        </w:rPr>
      </w:pPr>
      <w:r w:rsidRPr="00711F12">
        <w:rPr>
          <w:rFonts w:ascii="Times New Roman" w:hAnsi="Times New Roman" w:cs="Times New Roman"/>
          <w:sz w:val="20"/>
          <w:szCs w:val="20"/>
          <w:lang w:val="es-ES"/>
        </w:rPr>
        <w:t>Consejo de Armonización Contable de la Ciudad de México</w:t>
      </w:r>
    </w:p>
    <w:sectPr w:rsidR="00957F03" w:rsidRPr="00711F12" w:rsidSect="00C0412F">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E554" w14:textId="77777777" w:rsidR="00B579F3" w:rsidRDefault="00B579F3" w:rsidP="00D05348">
      <w:pPr>
        <w:spacing w:after="0" w:line="240" w:lineRule="auto"/>
      </w:pPr>
      <w:r>
        <w:separator/>
      </w:r>
    </w:p>
  </w:endnote>
  <w:endnote w:type="continuationSeparator" w:id="0">
    <w:p w14:paraId="21DAA4F2" w14:textId="77777777" w:rsidR="00B579F3" w:rsidRDefault="00B579F3" w:rsidP="00D0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E7DB" w14:textId="77777777" w:rsidR="00B579F3" w:rsidRDefault="00B579F3" w:rsidP="00D05348">
      <w:pPr>
        <w:spacing w:after="0" w:line="240" w:lineRule="auto"/>
      </w:pPr>
      <w:r>
        <w:separator/>
      </w:r>
    </w:p>
  </w:footnote>
  <w:footnote w:type="continuationSeparator" w:id="0">
    <w:p w14:paraId="65209284" w14:textId="77777777" w:rsidR="00B579F3" w:rsidRDefault="00B579F3" w:rsidP="00D0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41B09"/>
    <w:multiLevelType w:val="hybridMultilevel"/>
    <w:tmpl w:val="4D2E2F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FF6CE5"/>
    <w:multiLevelType w:val="hybridMultilevel"/>
    <w:tmpl w:val="4D2E2F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3BF3757"/>
    <w:multiLevelType w:val="hybridMultilevel"/>
    <w:tmpl w:val="4D2E2F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025340">
    <w:abstractNumId w:val="0"/>
  </w:num>
  <w:num w:numId="2" w16cid:durableId="1025133026">
    <w:abstractNumId w:val="1"/>
  </w:num>
  <w:num w:numId="3" w16cid:durableId="571962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48"/>
    <w:rsid w:val="00002BD2"/>
    <w:rsid w:val="000177AA"/>
    <w:rsid w:val="00022F96"/>
    <w:rsid w:val="00023CA2"/>
    <w:rsid w:val="00031CC5"/>
    <w:rsid w:val="00035469"/>
    <w:rsid w:val="000520AC"/>
    <w:rsid w:val="00052525"/>
    <w:rsid w:val="00066BE0"/>
    <w:rsid w:val="000813E7"/>
    <w:rsid w:val="00081AB4"/>
    <w:rsid w:val="000A48D1"/>
    <w:rsid w:val="000B5B69"/>
    <w:rsid w:val="000C09BA"/>
    <w:rsid w:val="000C3239"/>
    <w:rsid w:val="000C3421"/>
    <w:rsid w:val="000C7564"/>
    <w:rsid w:val="000E0D16"/>
    <w:rsid w:val="00110B6F"/>
    <w:rsid w:val="00153202"/>
    <w:rsid w:val="00154B25"/>
    <w:rsid w:val="00174A85"/>
    <w:rsid w:val="00180EE5"/>
    <w:rsid w:val="001A1A11"/>
    <w:rsid w:val="001A4540"/>
    <w:rsid w:val="001B60B2"/>
    <w:rsid w:val="001C69D0"/>
    <w:rsid w:val="001E2074"/>
    <w:rsid w:val="001E7356"/>
    <w:rsid w:val="001F21F7"/>
    <w:rsid w:val="002016CC"/>
    <w:rsid w:val="00212306"/>
    <w:rsid w:val="00224394"/>
    <w:rsid w:val="0023094A"/>
    <w:rsid w:val="00251863"/>
    <w:rsid w:val="0025782A"/>
    <w:rsid w:val="002614BA"/>
    <w:rsid w:val="002642E8"/>
    <w:rsid w:val="002747A3"/>
    <w:rsid w:val="00281001"/>
    <w:rsid w:val="00292D6B"/>
    <w:rsid w:val="002A5A73"/>
    <w:rsid w:val="002C157E"/>
    <w:rsid w:val="002D2342"/>
    <w:rsid w:val="002F483C"/>
    <w:rsid w:val="00304BF3"/>
    <w:rsid w:val="00304C25"/>
    <w:rsid w:val="00310C20"/>
    <w:rsid w:val="00311081"/>
    <w:rsid w:val="0033255F"/>
    <w:rsid w:val="00350591"/>
    <w:rsid w:val="003A17FA"/>
    <w:rsid w:val="003A296F"/>
    <w:rsid w:val="003A4A51"/>
    <w:rsid w:val="003A680E"/>
    <w:rsid w:val="003B334C"/>
    <w:rsid w:val="003B51FD"/>
    <w:rsid w:val="003D4457"/>
    <w:rsid w:val="003E5B4A"/>
    <w:rsid w:val="003E5B52"/>
    <w:rsid w:val="003F48DB"/>
    <w:rsid w:val="003F5AD5"/>
    <w:rsid w:val="00407252"/>
    <w:rsid w:val="004146B3"/>
    <w:rsid w:val="00415E91"/>
    <w:rsid w:val="004165C9"/>
    <w:rsid w:val="00430123"/>
    <w:rsid w:val="004461EA"/>
    <w:rsid w:val="00446A9E"/>
    <w:rsid w:val="00483400"/>
    <w:rsid w:val="00497777"/>
    <w:rsid w:val="00497D0E"/>
    <w:rsid w:val="004B0016"/>
    <w:rsid w:val="004C3874"/>
    <w:rsid w:val="004E11D1"/>
    <w:rsid w:val="004E7CD3"/>
    <w:rsid w:val="00503FDC"/>
    <w:rsid w:val="00510330"/>
    <w:rsid w:val="0051266E"/>
    <w:rsid w:val="005145A4"/>
    <w:rsid w:val="00514AED"/>
    <w:rsid w:val="00521863"/>
    <w:rsid w:val="00545600"/>
    <w:rsid w:val="00553C5C"/>
    <w:rsid w:val="00563E11"/>
    <w:rsid w:val="00565657"/>
    <w:rsid w:val="0057206E"/>
    <w:rsid w:val="005745E4"/>
    <w:rsid w:val="005838AB"/>
    <w:rsid w:val="00584CFF"/>
    <w:rsid w:val="00597DC8"/>
    <w:rsid w:val="005D042E"/>
    <w:rsid w:val="005E53CF"/>
    <w:rsid w:val="006020BB"/>
    <w:rsid w:val="00606145"/>
    <w:rsid w:val="0063151E"/>
    <w:rsid w:val="00651F09"/>
    <w:rsid w:val="0066711A"/>
    <w:rsid w:val="00682FCF"/>
    <w:rsid w:val="006848E2"/>
    <w:rsid w:val="006A48A2"/>
    <w:rsid w:val="006E6A39"/>
    <w:rsid w:val="006E7484"/>
    <w:rsid w:val="006F31F7"/>
    <w:rsid w:val="0070167C"/>
    <w:rsid w:val="00705A09"/>
    <w:rsid w:val="00710456"/>
    <w:rsid w:val="00711F12"/>
    <w:rsid w:val="0071567F"/>
    <w:rsid w:val="00733A22"/>
    <w:rsid w:val="00733C25"/>
    <w:rsid w:val="00744DF0"/>
    <w:rsid w:val="007479B5"/>
    <w:rsid w:val="00776C51"/>
    <w:rsid w:val="007856AC"/>
    <w:rsid w:val="00786D0D"/>
    <w:rsid w:val="00790F86"/>
    <w:rsid w:val="0079512C"/>
    <w:rsid w:val="007A1928"/>
    <w:rsid w:val="007C2CE5"/>
    <w:rsid w:val="007E59C1"/>
    <w:rsid w:val="007F5A1C"/>
    <w:rsid w:val="007F7A60"/>
    <w:rsid w:val="00800F70"/>
    <w:rsid w:val="00804477"/>
    <w:rsid w:val="00815652"/>
    <w:rsid w:val="00847823"/>
    <w:rsid w:val="00850EDB"/>
    <w:rsid w:val="0085662D"/>
    <w:rsid w:val="0087416C"/>
    <w:rsid w:val="008802C2"/>
    <w:rsid w:val="0089529C"/>
    <w:rsid w:val="008B1A73"/>
    <w:rsid w:val="008B7A8C"/>
    <w:rsid w:val="008C76C1"/>
    <w:rsid w:val="008F08CC"/>
    <w:rsid w:val="009032F2"/>
    <w:rsid w:val="00930101"/>
    <w:rsid w:val="00944DB4"/>
    <w:rsid w:val="00957F03"/>
    <w:rsid w:val="00964ABF"/>
    <w:rsid w:val="009A299B"/>
    <w:rsid w:val="009A74F2"/>
    <w:rsid w:val="009B63C7"/>
    <w:rsid w:val="009E7693"/>
    <w:rsid w:val="009F2AC5"/>
    <w:rsid w:val="009F39DA"/>
    <w:rsid w:val="009F5173"/>
    <w:rsid w:val="00A05C17"/>
    <w:rsid w:val="00A114B4"/>
    <w:rsid w:val="00A20A01"/>
    <w:rsid w:val="00A21FE0"/>
    <w:rsid w:val="00A3118E"/>
    <w:rsid w:val="00A35D50"/>
    <w:rsid w:val="00A44C20"/>
    <w:rsid w:val="00A6430A"/>
    <w:rsid w:val="00A66992"/>
    <w:rsid w:val="00A6798E"/>
    <w:rsid w:val="00A7253E"/>
    <w:rsid w:val="00A746F9"/>
    <w:rsid w:val="00A75603"/>
    <w:rsid w:val="00B138B0"/>
    <w:rsid w:val="00B138CA"/>
    <w:rsid w:val="00B145E8"/>
    <w:rsid w:val="00B14C8A"/>
    <w:rsid w:val="00B3501E"/>
    <w:rsid w:val="00B434AE"/>
    <w:rsid w:val="00B45034"/>
    <w:rsid w:val="00B51E69"/>
    <w:rsid w:val="00B53E82"/>
    <w:rsid w:val="00B564E4"/>
    <w:rsid w:val="00B579F3"/>
    <w:rsid w:val="00B66A37"/>
    <w:rsid w:val="00B72179"/>
    <w:rsid w:val="00B730E6"/>
    <w:rsid w:val="00B82776"/>
    <w:rsid w:val="00B92816"/>
    <w:rsid w:val="00BA5C4B"/>
    <w:rsid w:val="00BA6622"/>
    <w:rsid w:val="00BB054D"/>
    <w:rsid w:val="00BB27F5"/>
    <w:rsid w:val="00BB2881"/>
    <w:rsid w:val="00BB6290"/>
    <w:rsid w:val="00BE1C19"/>
    <w:rsid w:val="00BF64A9"/>
    <w:rsid w:val="00C00FED"/>
    <w:rsid w:val="00C0412F"/>
    <w:rsid w:val="00C06C6A"/>
    <w:rsid w:val="00C07A93"/>
    <w:rsid w:val="00C26176"/>
    <w:rsid w:val="00C31B6C"/>
    <w:rsid w:val="00C42453"/>
    <w:rsid w:val="00C428F6"/>
    <w:rsid w:val="00C60B86"/>
    <w:rsid w:val="00C67182"/>
    <w:rsid w:val="00C76832"/>
    <w:rsid w:val="00C83640"/>
    <w:rsid w:val="00C84F11"/>
    <w:rsid w:val="00C915DB"/>
    <w:rsid w:val="00CA3093"/>
    <w:rsid w:val="00CA3E3C"/>
    <w:rsid w:val="00CB1C02"/>
    <w:rsid w:val="00CD05B0"/>
    <w:rsid w:val="00CD5099"/>
    <w:rsid w:val="00CE400C"/>
    <w:rsid w:val="00CE4FD8"/>
    <w:rsid w:val="00CE69E9"/>
    <w:rsid w:val="00CE6C61"/>
    <w:rsid w:val="00CF2E7B"/>
    <w:rsid w:val="00CF5FDB"/>
    <w:rsid w:val="00D00431"/>
    <w:rsid w:val="00D0124D"/>
    <w:rsid w:val="00D05348"/>
    <w:rsid w:val="00D15B31"/>
    <w:rsid w:val="00D24231"/>
    <w:rsid w:val="00D30B81"/>
    <w:rsid w:val="00D36645"/>
    <w:rsid w:val="00D3788F"/>
    <w:rsid w:val="00D466BC"/>
    <w:rsid w:val="00D637A2"/>
    <w:rsid w:val="00D73801"/>
    <w:rsid w:val="00D76188"/>
    <w:rsid w:val="00DA4BCD"/>
    <w:rsid w:val="00DB0ED4"/>
    <w:rsid w:val="00DB22D2"/>
    <w:rsid w:val="00DC569C"/>
    <w:rsid w:val="00DD05A8"/>
    <w:rsid w:val="00DD6110"/>
    <w:rsid w:val="00DE1A6B"/>
    <w:rsid w:val="00E1565B"/>
    <w:rsid w:val="00E31F0E"/>
    <w:rsid w:val="00E35EFE"/>
    <w:rsid w:val="00E5589E"/>
    <w:rsid w:val="00E62D74"/>
    <w:rsid w:val="00E71B64"/>
    <w:rsid w:val="00E733DE"/>
    <w:rsid w:val="00E7424D"/>
    <w:rsid w:val="00EA34A1"/>
    <w:rsid w:val="00EE625D"/>
    <w:rsid w:val="00EE7094"/>
    <w:rsid w:val="00F17BC6"/>
    <w:rsid w:val="00F458E0"/>
    <w:rsid w:val="00F53EC8"/>
    <w:rsid w:val="00F64D41"/>
    <w:rsid w:val="00F702F1"/>
    <w:rsid w:val="00F70F0D"/>
    <w:rsid w:val="00F733CF"/>
    <w:rsid w:val="00F92006"/>
    <w:rsid w:val="00FA6AEA"/>
    <w:rsid w:val="00FC1216"/>
    <w:rsid w:val="00FC4207"/>
    <w:rsid w:val="00FD56C9"/>
    <w:rsid w:val="00FF3628"/>
    <w:rsid w:val="00FF44AF"/>
    <w:rsid w:val="00FF6D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31F0"/>
  <w15:chartTrackingRefBased/>
  <w15:docId w15:val="{F5E1AC49-3D66-4B9B-A631-7B0A0F5E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53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348"/>
  </w:style>
  <w:style w:type="paragraph" w:styleId="Piedepgina">
    <w:name w:val="footer"/>
    <w:basedOn w:val="Normal"/>
    <w:link w:val="PiedepginaCar"/>
    <w:uiPriority w:val="99"/>
    <w:unhideWhenUsed/>
    <w:rsid w:val="00D05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348"/>
  </w:style>
  <w:style w:type="paragraph" w:styleId="Sinespaciado">
    <w:name w:val="No Spacing"/>
    <w:uiPriority w:val="1"/>
    <w:qFormat/>
    <w:rsid w:val="001E7356"/>
    <w:pPr>
      <w:spacing w:after="0" w:line="240" w:lineRule="auto"/>
    </w:pPr>
  </w:style>
  <w:style w:type="paragraph" w:styleId="Textodeglobo">
    <w:name w:val="Balloon Text"/>
    <w:basedOn w:val="Normal"/>
    <w:link w:val="TextodegloboCar"/>
    <w:uiPriority w:val="99"/>
    <w:semiHidden/>
    <w:unhideWhenUsed/>
    <w:rsid w:val="00776C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6C51"/>
    <w:rPr>
      <w:rFonts w:ascii="Segoe UI" w:hAnsi="Segoe UI" w:cs="Segoe UI"/>
      <w:sz w:val="18"/>
      <w:szCs w:val="18"/>
    </w:rPr>
  </w:style>
  <w:style w:type="character" w:styleId="Hipervnculo">
    <w:name w:val="Hyperlink"/>
    <w:basedOn w:val="Fuentedeprrafopredeter"/>
    <w:uiPriority w:val="99"/>
    <w:unhideWhenUsed/>
    <w:rsid w:val="00D36645"/>
    <w:rPr>
      <w:color w:val="0563C1" w:themeColor="hyperlink"/>
      <w:u w:val="single"/>
    </w:rPr>
  </w:style>
  <w:style w:type="paragraph" w:customStyle="1" w:styleId="Default">
    <w:name w:val="Default"/>
    <w:rsid w:val="00A44C20"/>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A44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B2881"/>
    <w:pPr>
      <w:spacing w:after="0" w:line="240" w:lineRule="auto"/>
    </w:pPr>
  </w:style>
  <w:style w:type="paragraph" w:customStyle="1" w:styleId="Texto">
    <w:name w:val="Texto"/>
    <w:basedOn w:val="Normal"/>
    <w:link w:val="TextoCar"/>
    <w:rsid w:val="005745E4"/>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link w:val="ANOTACIONCar"/>
    <w:rsid w:val="005745E4"/>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TextoCar">
    <w:name w:val="Texto Car"/>
    <w:link w:val="Texto"/>
    <w:locked/>
    <w:rsid w:val="005745E4"/>
    <w:rPr>
      <w:rFonts w:ascii="Arial" w:eastAsia="Times New Roman" w:hAnsi="Arial" w:cs="Arial"/>
      <w:sz w:val="18"/>
      <w:szCs w:val="20"/>
      <w:lang w:val="es-ES" w:eastAsia="es-ES"/>
    </w:rPr>
  </w:style>
  <w:style w:type="character" w:customStyle="1" w:styleId="ANOTACIONCar">
    <w:name w:val="ANOTACION Car"/>
    <w:link w:val="ANOTACION"/>
    <w:locked/>
    <w:rsid w:val="005745E4"/>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0520">
      <w:bodyDiv w:val="1"/>
      <w:marLeft w:val="0"/>
      <w:marRight w:val="0"/>
      <w:marTop w:val="0"/>
      <w:marBottom w:val="0"/>
      <w:divBdr>
        <w:top w:val="none" w:sz="0" w:space="0" w:color="auto"/>
        <w:left w:val="none" w:sz="0" w:space="0" w:color="auto"/>
        <w:bottom w:val="none" w:sz="0" w:space="0" w:color="auto"/>
        <w:right w:val="none" w:sz="0" w:space="0" w:color="auto"/>
      </w:divBdr>
    </w:div>
    <w:div w:id="326715963">
      <w:bodyDiv w:val="1"/>
      <w:marLeft w:val="0"/>
      <w:marRight w:val="0"/>
      <w:marTop w:val="0"/>
      <w:marBottom w:val="0"/>
      <w:divBdr>
        <w:top w:val="none" w:sz="0" w:space="0" w:color="auto"/>
        <w:left w:val="none" w:sz="0" w:space="0" w:color="auto"/>
        <w:bottom w:val="none" w:sz="0" w:space="0" w:color="auto"/>
        <w:right w:val="none" w:sz="0" w:space="0" w:color="auto"/>
      </w:divBdr>
    </w:div>
    <w:div w:id="423454056">
      <w:bodyDiv w:val="1"/>
      <w:marLeft w:val="0"/>
      <w:marRight w:val="0"/>
      <w:marTop w:val="0"/>
      <w:marBottom w:val="0"/>
      <w:divBdr>
        <w:top w:val="none" w:sz="0" w:space="0" w:color="auto"/>
        <w:left w:val="none" w:sz="0" w:space="0" w:color="auto"/>
        <w:bottom w:val="none" w:sz="0" w:space="0" w:color="auto"/>
        <w:right w:val="none" w:sz="0" w:space="0" w:color="auto"/>
      </w:divBdr>
    </w:div>
    <w:div w:id="425201098">
      <w:bodyDiv w:val="1"/>
      <w:marLeft w:val="0"/>
      <w:marRight w:val="0"/>
      <w:marTop w:val="0"/>
      <w:marBottom w:val="0"/>
      <w:divBdr>
        <w:top w:val="none" w:sz="0" w:space="0" w:color="auto"/>
        <w:left w:val="none" w:sz="0" w:space="0" w:color="auto"/>
        <w:bottom w:val="none" w:sz="0" w:space="0" w:color="auto"/>
        <w:right w:val="none" w:sz="0" w:space="0" w:color="auto"/>
      </w:divBdr>
    </w:div>
    <w:div w:id="813790233">
      <w:bodyDiv w:val="1"/>
      <w:marLeft w:val="0"/>
      <w:marRight w:val="0"/>
      <w:marTop w:val="0"/>
      <w:marBottom w:val="0"/>
      <w:divBdr>
        <w:top w:val="none" w:sz="0" w:space="0" w:color="auto"/>
        <w:left w:val="none" w:sz="0" w:space="0" w:color="auto"/>
        <w:bottom w:val="none" w:sz="0" w:space="0" w:color="auto"/>
        <w:right w:val="none" w:sz="0" w:space="0" w:color="auto"/>
      </w:divBdr>
    </w:div>
    <w:div w:id="951086415">
      <w:bodyDiv w:val="1"/>
      <w:marLeft w:val="0"/>
      <w:marRight w:val="0"/>
      <w:marTop w:val="0"/>
      <w:marBottom w:val="0"/>
      <w:divBdr>
        <w:top w:val="none" w:sz="0" w:space="0" w:color="auto"/>
        <w:left w:val="none" w:sz="0" w:space="0" w:color="auto"/>
        <w:bottom w:val="none" w:sz="0" w:space="0" w:color="auto"/>
        <w:right w:val="none" w:sz="0" w:space="0" w:color="auto"/>
      </w:divBdr>
    </w:div>
    <w:div w:id="1441409737">
      <w:bodyDiv w:val="1"/>
      <w:marLeft w:val="0"/>
      <w:marRight w:val="0"/>
      <w:marTop w:val="0"/>
      <w:marBottom w:val="0"/>
      <w:divBdr>
        <w:top w:val="none" w:sz="0" w:space="0" w:color="auto"/>
        <w:left w:val="none" w:sz="0" w:space="0" w:color="auto"/>
        <w:bottom w:val="none" w:sz="0" w:space="0" w:color="auto"/>
        <w:right w:val="none" w:sz="0" w:space="0" w:color="auto"/>
      </w:divBdr>
    </w:div>
    <w:div w:id="1608004390">
      <w:bodyDiv w:val="1"/>
      <w:marLeft w:val="0"/>
      <w:marRight w:val="0"/>
      <w:marTop w:val="0"/>
      <w:marBottom w:val="0"/>
      <w:divBdr>
        <w:top w:val="none" w:sz="0" w:space="0" w:color="auto"/>
        <w:left w:val="none" w:sz="0" w:space="0" w:color="auto"/>
        <w:bottom w:val="none" w:sz="0" w:space="0" w:color="auto"/>
        <w:right w:val="none" w:sz="0" w:space="0" w:color="auto"/>
      </w:divBdr>
    </w:div>
    <w:div w:id="1640308784">
      <w:bodyDiv w:val="1"/>
      <w:marLeft w:val="0"/>
      <w:marRight w:val="0"/>
      <w:marTop w:val="0"/>
      <w:marBottom w:val="0"/>
      <w:divBdr>
        <w:top w:val="none" w:sz="0" w:space="0" w:color="auto"/>
        <w:left w:val="none" w:sz="0" w:space="0" w:color="auto"/>
        <w:bottom w:val="none" w:sz="0" w:space="0" w:color="auto"/>
        <w:right w:val="none" w:sz="0" w:space="0" w:color="auto"/>
      </w:divBdr>
    </w:div>
    <w:div w:id="1710569086">
      <w:bodyDiv w:val="1"/>
      <w:marLeft w:val="0"/>
      <w:marRight w:val="0"/>
      <w:marTop w:val="0"/>
      <w:marBottom w:val="0"/>
      <w:divBdr>
        <w:top w:val="none" w:sz="0" w:space="0" w:color="auto"/>
        <w:left w:val="none" w:sz="0" w:space="0" w:color="auto"/>
        <w:bottom w:val="none" w:sz="0" w:space="0" w:color="auto"/>
        <w:right w:val="none" w:sz="0" w:space="0" w:color="auto"/>
      </w:divBdr>
    </w:div>
    <w:div w:id="1862547528">
      <w:bodyDiv w:val="1"/>
      <w:marLeft w:val="0"/>
      <w:marRight w:val="0"/>
      <w:marTop w:val="0"/>
      <w:marBottom w:val="0"/>
      <w:divBdr>
        <w:top w:val="none" w:sz="0" w:space="0" w:color="auto"/>
        <w:left w:val="none" w:sz="0" w:space="0" w:color="auto"/>
        <w:bottom w:val="none" w:sz="0" w:space="0" w:color="auto"/>
        <w:right w:val="none" w:sz="0" w:space="0" w:color="auto"/>
      </w:divBdr>
    </w:div>
    <w:div w:id="21423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34CD1-E6D5-481F-9EE1-A577BE9B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3437</Words>
  <Characters>18904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Finanzas CDMX</cp:lastModifiedBy>
  <cp:revision>27</cp:revision>
  <cp:lastPrinted>2025-12-31T18:36:00Z</cp:lastPrinted>
  <dcterms:created xsi:type="dcterms:W3CDTF">2025-06-13T20:26:00Z</dcterms:created>
  <dcterms:modified xsi:type="dcterms:W3CDTF">2026-01-14T22:21:00Z</dcterms:modified>
</cp:coreProperties>
</file>